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6E1A02" w14:textId="06DE3B1E" w:rsidR="002E5307" w:rsidRPr="002E5307" w:rsidRDefault="002E5307" w:rsidP="002E5307">
      <w:pPr>
        <w:jc w:val="center"/>
        <w:rPr>
          <w:rFonts w:ascii="Calibri" w:eastAsia="Calibri" w:hAnsi="Calibri" w:cs="Calibri"/>
          <w:b/>
          <w:sz w:val="28"/>
          <w:szCs w:val="28"/>
          <w:lang w:val="en-ID"/>
        </w:rPr>
      </w:pPr>
      <w:r w:rsidRPr="002E5307">
        <w:rPr>
          <w:rFonts w:ascii="Calibri" w:eastAsia="Calibri" w:hAnsi="Calibri" w:cs="Calibri"/>
          <w:b/>
          <w:sz w:val="28"/>
          <w:szCs w:val="28"/>
          <w:lang w:val="en-ID"/>
        </w:rPr>
        <w:t xml:space="preserve">Analysis of </w:t>
      </w:r>
      <w:r w:rsidR="00481A63">
        <w:rPr>
          <w:rFonts w:ascii="Calibri" w:eastAsia="Calibri" w:hAnsi="Calibri" w:cs="Calibri"/>
          <w:b/>
          <w:sz w:val="28"/>
          <w:szCs w:val="28"/>
          <w:lang w:val="en-ID"/>
        </w:rPr>
        <w:t xml:space="preserve">Junior High School </w:t>
      </w:r>
      <w:r w:rsidRPr="002E5307">
        <w:rPr>
          <w:rFonts w:ascii="Calibri" w:eastAsia="Calibri" w:hAnsi="Calibri" w:cs="Calibri"/>
          <w:b/>
          <w:sz w:val="28"/>
          <w:szCs w:val="28"/>
          <w:lang w:val="en-ID"/>
        </w:rPr>
        <w:t>Students' Ability to Read the Qur'an Based on Their Learning Environment Support</w:t>
      </w:r>
    </w:p>
    <w:p w14:paraId="5DEB2E31" w14:textId="77777777" w:rsidR="00EE5178" w:rsidRPr="002E5307" w:rsidRDefault="00EE5178">
      <w:pPr>
        <w:jc w:val="both"/>
        <w:rPr>
          <w:rFonts w:ascii="Calibri" w:eastAsia="Calibri" w:hAnsi="Calibri" w:cs="Calibri"/>
          <w:lang w:val="en-ID"/>
        </w:rPr>
      </w:pPr>
    </w:p>
    <w:p w14:paraId="77FC55F1" w14:textId="77777777" w:rsidR="00C27B0D" w:rsidRDefault="00C27B0D" w:rsidP="00C27B0D">
      <w:pPr>
        <w:jc w:val="center"/>
        <w:rPr>
          <w:rFonts w:ascii="Calibri" w:eastAsia="Calibri" w:hAnsi="Calibri" w:cs="Calibri"/>
          <w:b/>
          <w:sz w:val="20"/>
        </w:rPr>
      </w:pPr>
      <w:r>
        <w:rPr>
          <w:rFonts w:ascii="Calibri" w:eastAsia="Calibri" w:hAnsi="Calibri" w:cs="Calibri"/>
          <w:b/>
          <w:sz w:val="20"/>
        </w:rPr>
        <w:t>Muhammad Rizqi</w:t>
      </w:r>
      <w:r>
        <w:rPr>
          <w:rFonts w:ascii="Calibri" w:eastAsia="Calibri" w:hAnsi="Calibri" w:cs="Calibri"/>
          <w:b/>
          <w:sz w:val="20"/>
          <w:vertAlign w:val="superscript"/>
        </w:rPr>
        <w:t>1</w:t>
      </w:r>
      <w:r>
        <w:rPr>
          <w:rFonts w:ascii="Calibri" w:eastAsia="Calibri" w:hAnsi="Calibri" w:cs="Calibri"/>
          <w:b/>
          <w:sz w:val="20"/>
        </w:rPr>
        <w:t>, Zainap hartati</w:t>
      </w:r>
      <w:r>
        <w:rPr>
          <w:rFonts w:ascii="Calibri" w:eastAsia="Calibri" w:hAnsi="Calibri" w:cs="Calibri"/>
          <w:b/>
          <w:sz w:val="20"/>
          <w:vertAlign w:val="superscript"/>
        </w:rPr>
        <w:t>2</w:t>
      </w:r>
      <w:r>
        <w:rPr>
          <w:rFonts w:ascii="Calibri" w:eastAsia="Calibri" w:hAnsi="Calibri" w:cs="Calibri"/>
          <w:b/>
          <w:sz w:val="20"/>
        </w:rPr>
        <w:t>, Abdullah</w:t>
      </w:r>
      <w:r>
        <w:rPr>
          <w:rFonts w:ascii="Calibri" w:eastAsia="Calibri" w:hAnsi="Calibri" w:cs="Calibri"/>
          <w:b/>
          <w:sz w:val="20"/>
          <w:vertAlign w:val="superscript"/>
        </w:rPr>
        <w:t>3</w:t>
      </w:r>
    </w:p>
    <w:p w14:paraId="2679EC66" w14:textId="77777777" w:rsidR="00C27B0D" w:rsidRDefault="00C27B0D" w:rsidP="00C27B0D">
      <w:pPr>
        <w:jc w:val="center"/>
        <w:rPr>
          <w:rFonts w:ascii="Calibri" w:eastAsia="Calibri" w:hAnsi="Calibri" w:cs="Calibri"/>
          <w:sz w:val="20"/>
        </w:rPr>
      </w:pPr>
      <w:r>
        <w:rPr>
          <w:rFonts w:ascii="Calibri" w:eastAsia="Calibri" w:hAnsi="Calibri" w:cs="Calibri"/>
          <w:sz w:val="20"/>
          <w:vertAlign w:val="superscript"/>
        </w:rPr>
        <w:t>1,3</w:t>
      </w:r>
      <w:r w:rsidRPr="00275122">
        <w:rPr>
          <w:rFonts w:ascii="Calibri" w:eastAsia="Calibri" w:hAnsi="Calibri" w:cs="Calibri"/>
          <w:sz w:val="20"/>
        </w:rPr>
        <w:t>Faculty of Tarbiyah and Teacher Training</w:t>
      </w:r>
      <w:r>
        <w:rPr>
          <w:rFonts w:ascii="Calibri" w:eastAsia="Calibri" w:hAnsi="Calibri" w:cs="Calibri"/>
          <w:sz w:val="20"/>
        </w:rPr>
        <w:t>, UIN Palangka Raya, Palangka Raya, Indonesia</w:t>
      </w:r>
    </w:p>
    <w:p w14:paraId="2E6EC379" w14:textId="77777777" w:rsidR="00C27B0D" w:rsidRDefault="00C27B0D" w:rsidP="00C27B0D">
      <w:pPr>
        <w:jc w:val="center"/>
        <w:rPr>
          <w:rFonts w:ascii="Calibri" w:eastAsia="Calibri" w:hAnsi="Calibri" w:cs="Calibri"/>
          <w:sz w:val="20"/>
        </w:rPr>
      </w:pPr>
      <w:r>
        <w:rPr>
          <w:rFonts w:ascii="Calibri" w:eastAsia="Calibri" w:hAnsi="Calibri" w:cs="Calibri"/>
          <w:sz w:val="20"/>
          <w:vertAlign w:val="superscript"/>
        </w:rPr>
        <w:t>2</w:t>
      </w:r>
      <w:r w:rsidRPr="002D42AF">
        <w:rPr>
          <w:rFonts w:ascii="Calibri" w:eastAsia="Calibri" w:hAnsi="Calibri" w:cs="Calibri"/>
          <w:sz w:val="20"/>
        </w:rPr>
        <w:t>Faculty of Ushuluddin, Adab, and Dakwah</w:t>
      </w:r>
      <w:r>
        <w:rPr>
          <w:rFonts w:ascii="Calibri" w:eastAsia="Calibri" w:hAnsi="Calibri" w:cs="Calibri"/>
          <w:sz w:val="20"/>
        </w:rPr>
        <w:t>, UIN Palangka Raya, Palangka Raya, Indonesia</w:t>
      </w:r>
    </w:p>
    <w:p w14:paraId="6A4DB832" w14:textId="77777777" w:rsidR="00C27B0D" w:rsidRPr="00F1781C" w:rsidRDefault="00C27B0D" w:rsidP="00C27B0D">
      <w:pPr>
        <w:jc w:val="center"/>
        <w:rPr>
          <w:rFonts w:ascii="Calibri" w:eastAsia="Calibri" w:hAnsi="Calibri" w:cs="Calibri"/>
          <w:sz w:val="20"/>
        </w:rPr>
      </w:pPr>
      <w:r w:rsidRPr="00F1781C">
        <w:rPr>
          <w:rFonts w:ascii="Calibri" w:eastAsia="Calibri" w:hAnsi="Calibri" w:cs="Calibri"/>
          <w:sz w:val="20"/>
        </w:rPr>
        <w:t xml:space="preserve">E-mail: </w:t>
      </w:r>
      <w:r w:rsidRPr="00F1781C">
        <w:rPr>
          <w:rFonts w:ascii="Calibri" w:eastAsia="Calibri" w:hAnsi="Calibri" w:cs="Calibri"/>
          <w:sz w:val="20"/>
          <w:vertAlign w:val="superscript"/>
        </w:rPr>
        <w:t>1</w:t>
      </w:r>
      <w:hyperlink r:id="rId10" w:history="1">
        <w:r w:rsidRPr="00F1781C">
          <w:rPr>
            <w:rStyle w:val="Hyperlink"/>
            <w:rFonts w:ascii="Calibri" w:eastAsia="Calibri" w:hAnsi="Calibri" w:cs="Calibri"/>
            <w:sz w:val="20"/>
            <w:u w:val="none"/>
          </w:rPr>
          <w:t>muhammadrizqi2211110069@iain-palangkaraya.ac.id</w:t>
        </w:r>
      </w:hyperlink>
      <w:r w:rsidRPr="00F1781C">
        <w:rPr>
          <w:rFonts w:ascii="Calibri" w:eastAsia="Calibri" w:hAnsi="Calibri" w:cs="Calibri"/>
          <w:sz w:val="20"/>
        </w:rPr>
        <w:t xml:space="preserve">*, </w:t>
      </w:r>
      <w:r w:rsidRPr="00F1781C">
        <w:rPr>
          <w:rFonts w:ascii="Calibri" w:eastAsia="Calibri" w:hAnsi="Calibri" w:cs="Calibri"/>
          <w:sz w:val="20"/>
          <w:vertAlign w:val="superscript"/>
        </w:rPr>
        <w:t>2</w:t>
      </w:r>
      <w:hyperlink r:id="rId11" w:history="1">
        <w:r w:rsidRPr="00F1781C">
          <w:rPr>
            <w:rStyle w:val="Hyperlink"/>
            <w:rFonts w:ascii="Calibri" w:eastAsia="Calibri" w:hAnsi="Calibri" w:cs="Calibri"/>
            <w:sz w:val="20"/>
            <w:u w:val="none"/>
          </w:rPr>
          <w:t>zainaphartati@iain-palangkaraya.ac.id@mail.com</w:t>
        </w:r>
      </w:hyperlink>
      <w:r w:rsidRPr="00F1781C">
        <w:rPr>
          <w:rFonts w:ascii="Calibri" w:eastAsia="Calibri" w:hAnsi="Calibri" w:cs="Calibri"/>
          <w:sz w:val="20"/>
        </w:rPr>
        <w:t xml:space="preserve"> , </w:t>
      </w:r>
      <w:r w:rsidRPr="00F1781C">
        <w:rPr>
          <w:rFonts w:ascii="Calibri" w:eastAsia="Calibri" w:hAnsi="Calibri" w:cs="Calibri"/>
          <w:sz w:val="20"/>
          <w:vertAlign w:val="superscript"/>
        </w:rPr>
        <w:t>3</w:t>
      </w:r>
      <w:hyperlink r:id="rId12" w:history="1">
        <w:r w:rsidRPr="00F1781C">
          <w:rPr>
            <w:rStyle w:val="Hyperlink"/>
            <w:rFonts w:ascii="Calibri" w:eastAsia="Calibri" w:hAnsi="Calibri" w:cs="Calibri"/>
            <w:sz w:val="20"/>
            <w:u w:val="none"/>
          </w:rPr>
          <w:t>abdullah@iain-palangkaraya.ac.id</w:t>
        </w:r>
      </w:hyperlink>
      <w:r w:rsidRPr="00F1781C">
        <w:rPr>
          <w:rFonts w:ascii="Calibri" w:eastAsia="Calibri" w:hAnsi="Calibri" w:cs="Calibri"/>
          <w:sz w:val="20"/>
        </w:rPr>
        <w:t xml:space="preserve"> </w:t>
      </w:r>
    </w:p>
    <w:p w14:paraId="42A03BB1" w14:textId="77777777" w:rsidR="00C27B0D" w:rsidRDefault="00C27B0D" w:rsidP="00C27B0D">
      <w:pPr>
        <w:jc w:val="center"/>
        <w:rPr>
          <w:rFonts w:ascii="Calibri" w:eastAsia="Calibri" w:hAnsi="Calibri" w:cs="Calibri"/>
          <w:b/>
          <w:sz w:val="20"/>
        </w:rPr>
      </w:pPr>
      <w:r>
        <w:rPr>
          <w:rFonts w:ascii="Calibri" w:eastAsia="Calibri" w:hAnsi="Calibri" w:cs="Calibri"/>
          <w:sz w:val="20"/>
        </w:rPr>
        <w:t>*Corresponding Author</w:t>
      </w:r>
    </w:p>
    <w:p w14:paraId="181ED3DD" w14:textId="77777777" w:rsidR="00C27B0D" w:rsidRDefault="00C27B0D" w:rsidP="00C27B0D">
      <w:pPr>
        <w:tabs>
          <w:tab w:val="left" w:pos="5124"/>
        </w:tabs>
        <w:jc w:val="center"/>
        <w:rPr>
          <w:rFonts w:ascii="Calibri" w:eastAsia="Calibri" w:hAnsi="Calibri" w:cs="Calibri"/>
          <w:b/>
          <w:sz w:val="20"/>
        </w:rPr>
      </w:pPr>
    </w:p>
    <w:p w14:paraId="0764B4D5" w14:textId="77777777" w:rsidR="00C27B0D" w:rsidRDefault="00C27B0D" w:rsidP="00C27B0D">
      <w:pPr>
        <w:tabs>
          <w:tab w:val="left" w:pos="5124"/>
        </w:tabs>
        <w:jc w:val="center"/>
        <w:rPr>
          <w:rFonts w:ascii="Calibri" w:eastAsia="Calibri" w:hAnsi="Calibri" w:cs="Calibri"/>
          <w:i/>
          <w:sz w:val="18"/>
          <w:szCs w:val="18"/>
        </w:rPr>
      </w:pPr>
      <w:r>
        <w:rPr>
          <w:rFonts w:ascii="Calibri" w:eastAsia="Calibri" w:hAnsi="Calibri" w:cs="Calibri"/>
          <w:i/>
          <w:sz w:val="18"/>
          <w:szCs w:val="18"/>
        </w:rPr>
        <w:t>Article History:</w:t>
      </w:r>
    </w:p>
    <w:p w14:paraId="71B2819A" w14:textId="04FA2374" w:rsidR="00C27B0D" w:rsidRDefault="00C27B0D" w:rsidP="00C27B0D">
      <w:pPr>
        <w:tabs>
          <w:tab w:val="left" w:pos="5124"/>
        </w:tabs>
        <w:jc w:val="center"/>
        <w:rPr>
          <w:rFonts w:ascii="Calibri" w:eastAsia="Calibri" w:hAnsi="Calibri" w:cs="Calibri"/>
          <w:i/>
          <w:sz w:val="18"/>
          <w:szCs w:val="18"/>
        </w:rPr>
      </w:pPr>
      <w:r>
        <w:rPr>
          <w:rFonts w:ascii="Calibri" w:eastAsia="Calibri" w:hAnsi="Calibri" w:cs="Calibri"/>
          <w:i/>
          <w:sz w:val="18"/>
          <w:szCs w:val="18"/>
        </w:rPr>
        <w:t xml:space="preserve">Received: </w:t>
      </w:r>
      <w:r>
        <w:rPr>
          <w:rFonts w:ascii="Calibri" w:eastAsia="Calibri" w:hAnsi="Calibri" w:cs="Calibri"/>
          <w:i/>
          <w:sz w:val="18"/>
          <w:szCs w:val="18"/>
        </w:rPr>
        <w:t xml:space="preserve">June 10, 2025; Revised: </w:t>
      </w:r>
      <w:r w:rsidR="00F1781C">
        <w:rPr>
          <w:rFonts w:ascii="Calibri" w:eastAsia="Calibri" w:hAnsi="Calibri" w:cs="Calibri"/>
          <w:i/>
          <w:sz w:val="18"/>
          <w:szCs w:val="18"/>
        </w:rPr>
        <w:t>July 6, 2025</w:t>
      </w:r>
      <w:r>
        <w:rPr>
          <w:rFonts w:ascii="Calibri" w:eastAsia="Calibri" w:hAnsi="Calibri" w:cs="Calibri"/>
          <w:i/>
          <w:sz w:val="18"/>
          <w:szCs w:val="18"/>
        </w:rPr>
        <w:t xml:space="preserve">; Accepted: </w:t>
      </w:r>
      <w:r w:rsidR="00F1781C">
        <w:rPr>
          <w:rFonts w:ascii="Calibri" w:eastAsia="Calibri" w:hAnsi="Calibri" w:cs="Calibri"/>
          <w:i/>
          <w:sz w:val="18"/>
          <w:szCs w:val="18"/>
        </w:rPr>
        <w:t>July 9</w:t>
      </w:r>
      <w:r>
        <w:rPr>
          <w:rFonts w:ascii="Calibri" w:eastAsia="Calibri" w:hAnsi="Calibri" w:cs="Calibri"/>
          <w:i/>
          <w:sz w:val="18"/>
          <w:szCs w:val="18"/>
        </w:rPr>
        <w:t>, 20</w:t>
      </w:r>
      <w:r w:rsidR="00F1781C">
        <w:rPr>
          <w:rFonts w:ascii="Calibri" w:eastAsia="Calibri" w:hAnsi="Calibri" w:cs="Calibri"/>
          <w:i/>
          <w:sz w:val="18"/>
          <w:szCs w:val="18"/>
        </w:rPr>
        <w:t>25; Published: July 31, 2025</w:t>
      </w:r>
    </w:p>
    <w:p w14:paraId="25EE1A64" w14:textId="77777777" w:rsidR="00EE5178" w:rsidRDefault="00EE5178">
      <w:pPr>
        <w:rPr>
          <w:rFonts w:ascii="Calibri" w:eastAsia="Calibri" w:hAnsi="Calibri" w:cs="Calibri"/>
          <w:b/>
          <w:sz w:val="20"/>
        </w:rPr>
      </w:pPr>
    </w:p>
    <w:tbl>
      <w:tblPr>
        <w:tblStyle w:val="a"/>
        <w:tblW w:w="8507" w:type="dxa"/>
        <w:tblInd w:w="108" w:type="dxa"/>
        <w:tblBorders>
          <w:top w:val="single" w:sz="4" w:space="0" w:color="4F81BD"/>
          <w:left w:val="nil"/>
          <w:bottom w:val="single" w:sz="4" w:space="0" w:color="4F81BD"/>
          <w:right w:val="nil"/>
          <w:insideH w:val="nil"/>
          <w:insideV w:val="nil"/>
        </w:tblBorders>
        <w:tblLayout w:type="fixed"/>
        <w:tblLook w:val="0400" w:firstRow="0" w:lastRow="0" w:firstColumn="0" w:lastColumn="0" w:noHBand="0" w:noVBand="1"/>
      </w:tblPr>
      <w:tblGrid>
        <w:gridCol w:w="8507"/>
      </w:tblGrid>
      <w:tr w:rsidR="00EE5178" w14:paraId="5115BB78" w14:textId="77777777" w:rsidTr="00C27B0D">
        <w:tc>
          <w:tcPr>
            <w:tcW w:w="8507" w:type="dxa"/>
            <w:shd w:val="clear" w:color="auto" w:fill="F2F2F2"/>
          </w:tcPr>
          <w:p w14:paraId="3A7742C6" w14:textId="77777777" w:rsidR="00EE5178" w:rsidRDefault="00EE5178">
            <w:pPr>
              <w:jc w:val="both"/>
              <w:rPr>
                <w:b/>
              </w:rPr>
            </w:pPr>
          </w:p>
          <w:p w14:paraId="46F592E8" w14:textId="77777777" w:rsidR="00F968F9" w:rsidRPr="00F968F9" w:rsidRDefault="00F968F9" w:rsidP="00F968F9">
            <w:pPr>
              <w:jc w:val="both"/>
              <w:rPr>
                <w:rFonts w:asciiTheme="minorHAnsi" w:hAnsiTheme="minorHAnsi" w:cstheme="minorHAnsi"/>
                <w:b/>
              </w:rPr>
            </w:pPr>
            <w:r w:rsidRPr="00F968F9">
              <w:rPr>
                <w:rFonts w:asciiTheme="minorHAnsi" w:hAnsiTheme="minorHAnsi" w:cstheme="minorHAnsi"/>
                <w:b/>
              </w:rPr>
              <w:t>ABSTRACT</w:t>
            </w:r>
          </w:p>
          <w:p w14:paraId="5611B130" w14:textId="77777777" w:rsidR="00F968F9" w:rsidRPr="00F968F9" w:rsidRDefault="00F968F9" w:rsidP="00F968F9">
            <w:pPr>
              <w:jc w:val="both"/>
              <w:rPr>
                <w:rFonts w:asciiTheme="minorHAnsi" w:hAnsiTheme="minorHAnsi" w:cstheme="minorHAnsi"/>
                <w:b/>
              </w:rPr>
            </w:pPr>
          </w:p>
          <w:p w14:paraId="1C397CFD" w14:textId="34985D1D" w:rsidR="00F968F9" w:rsidRDefault="00355ABA" w:rsidP="00F968F9">
            <w:pPr>
              <w:jc w:val="both"/>
              <w:rPr>
                <w:rFonts w:asciiTheme="minorHAnsi" w:hAnsiTheme="minorHAnsi" w:cstheme="minorHAnsi"/>
              </w:rPr>
            </w:pPr>
            <w:r w:rsidRPr="00355ABA">
              <w:rPr>
                <w:rFonts w:asciiTheme="minorHAnsi" w:hAnsiTheme="minorHAnsi" w:cstheme="minorHAnsi"/>
              </w:rPr>
              <w:t>This study aims to analyze the ability of junior high school students to read the Qur'an based on their learning environment. Using a descriptive qualitative approach, data were collected through observation, in-depth interviews, and documentation of 10 seventh-grade students, Islamic Education teachers, the Deputy Head of Student Affairs, and the Principal. The results of the study indicate that the absence of programs to encourage Quran reading at school, limited time for religious education, and a lack of support and guidance from parents are the main factors contributing to students' low ability to read the Quran. Additionally, limited facilities such as the availability of Quran manuscripts at home and an unsupportive social environment further exacerbate the situation. These findings emphasize the importance of collaboration between schools, families, and communities in fostering sustainable Quran reading habits, through the implementation of special programs at schools, increased parental involvement, and the provision of adequate learning facilities. With collective efforts, it is hoped that students' Quran reading skills will develop optimally and support character development and the quality of religious education at junior high schools.</w:t>
            </w:r>
          </w:p>
          <w:p w14:paraId="24BDB557" w14:textId="77777777" w:rsidR="00355ABA" w:rsidRPr="00F968F9" w:rsidRDefault="00355ABA" w:rsidP="00F968F9">
            <w:pPr>
              <w:jc w:val="both"/>
              <w:rPr>
                <w:rFonts w:asciiTheme="minorHAnsi" w:hAnsiTheme="minorHAnsi" w:cstheme="minorHAnsi"/>
              </w:rPr>
            </w:pPr>
          </w:p>
          <w:p w14:paraId="709CF952" w14:textId="0F06CF70" w:rsidR="00EE5178" w:rsidRPr="00F968F9" w:rsidRDefault="00F968F9" w:rsidP="00F968F9">
            <w:pPr>
              <w:jc w:val="both"/>
              <w:rPr>
                <w:rFonts w:asciiTheme="minorHAnsi" w:hAnsiTheme="minorHAnsi" w:cstheme="minorHAnsi"/>
                <w:i/>
              </w:rPr>
            </w:pPr>
            <w:r w:rsidRPr="00F968F9">
              <w:rPr>
                <w:rFonts w:asciiTheme="minorHAnsi" w:hAnsiTheme="minorHAnsi" w:cstheme="minorHAnsi"/>
                <w:b/>
              </w:rPr>
              <w:t xml:space="preserve">Keywords: </w:t>
            </w:r>
            <w:r w:rsidRPr="00F968F9">
              <w:rPr>
                <w:rFonts w:asciiTheme="minorHAnsi" w:hAnsiTheme="minorHAnsi" w:cstheme="minorHAnsi"/>
                <w:i/>
              </w:rPr>
              <w:t xml:space="preserve">Qur’anic Reading Skills, Junior High School Students, Causal Factors, </w:t>
            </w:r>
            <w:r w:rsidR="00481A63">
              <w:rPr>
                <w:rFonts w:asciiTheme="minorHAnsi" w:hAnsiTheme="minorHAnsi" w:cstheme="minorHAnsi"/>
                <w:i/>
              </w:rPr>
              <w:t>Reading Habits</w:t>
            </w:r>
            <w:r w:rsidRPr="00F968F9">
              <w:rPr>
                <w:rFonts w:asciiTheme="minorHAnsi" w:hAnsiTheme="minorHAnsi" w:cstheme="minorHAnsi"/>
                <w:i/>
              </w:rPr>
              <w:t>,</w:t>
            </w:r>
            <w:r w:rsidR="00481A63">
              <w:rPr>
                <w:rFonts w:asciiTheme="minorHAnsi" w:hAnsiTheme="minorHAnsi" w:cstheme="minorHAnsi"/>
                <w:i/>
              </w:rPr>
              <w:t xml:space="preserve"> Learning Environment</w:t>
            </w:r>
          </w:p>
        </w:tc>
      </w:tr>
    </w:tbl>
    <w:p w14:paraId="49C5CE06" w14:textId="77777777" w:rsidR="00EE5178" w:rsidRDefault="00EE5178">
      <w:pPr>
        <w:jc w:val="both"/>
        <w:rPr>
          <w:rFonts w:ascii="Calibri" w:eastAsia="Calibri" w:hAnsi="Calibri" w:cs="Calibri"/>
          <w:b/>
          <w:sz w:val="20"/>
        </w:rPr>
      </w:pPr>
    </w:p>
    <w:tbl>
      <w:tblPr>
        <w:tblStyle w:val="a0"/>
        <w:tblW w:w="8723" w:type="dxa"/>
        <w:tblInd w:w="-34" w:type="dxa"/>
        <w:tblBorders>
          <w:top w:val="nil"/>
          <w:left w:val="nil"/>
          <w:bottom w:val="nil"/>
          <w:right w:val="nil"/>
          <w:insideH w:val="nil"/>
          <w:insideV w:val="nil"/>
        </w:tblBorders>
        <w:tblLayout w:type="fixed"/>
        <w:tblLook w:val="0400" w:firstRow="0" w:lastRow="0" w:firstColumn="0" w:lastColumn="0" w:noHBand="0" w:noVBand="1"/>
      </w:tblPr>
      <w:tblGrid>
        <w:gridCol w:w="1626"/>
        <w:gridCol w:w="7097"/>
      </w:tblGrid>
      <w:tr w:rsidR="00EE5178" w14:paraId="6A9E058C" w14:textId="77777777" w:rsidTr="00C27B0D">
        <w:tc>
          <w:tcPr>
            <w:tcW w:w="1626" w:type="dxa"/>
          </w:tcPr>
          <w:p w14:paraId="447D9771" w14:textId="77777777" w:rsidR="00EE5178" w:rsidRDefault="00A274B2" w:rsidP="00C27B0D">
            <w:pPr>
              <w:ind w:firstLine="34"/>
              <w:jc w:val="both"/>
              <w:rPr>
                <w:b/>
              </w:rPr>
            </w:pPr>
            <w:r>
              <w:rPr>
                <w:b/>
                <w:noProof/>
                <w:lang w:val="id-ID" w:eastAsia="id-ID"/>
              </w:rPr>
              <w:drawing>
                <wp:inline distT="0" distB="0" distL="0" distR="0" wp14:anchorId="23B33FBD" wp14:editId="2EA10A2E">
                  <wp:extent cx="890945" cy="314325"/>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890945" cy="314325"/>
                          </a:xfrm>
                          <a:prstGeom prst="rect">
                            <a:avLst/>
                          </a:prstGeom>
                          <a:ln/>
                        </pic:spPr>
                      </pic:pic>
                    </a:graphicData>
                  </a:graphic>
                </wp:inline>
              </w:drawing>
            </w:r>
          </w:p>
        </w:tc>
        <w:tc>
          <w:tcPr>
            <w:tcW w:w="7097" w:type="dxa"/>
          </w:tcPr>
          <w:p w14:paraId="2127AD09" w14:textId="56908800" w:rsidR="00EE5178" w:rsidRDefault="00C27B0D">
            <w:pPr>
              <w:rPr>
                <w:b/>
                <w:i/>
              </w:rPr>
            </w:pPr>
            <w:r>
              <w:rPr>
                <w:b/>
                <w:i/>
              </w:rPr>
              <w:t xml:space="preserve">Copyright © 2025 </w:t>
            </w:r>
            <w:r w:rsidR="00A274B2">
              <w:rPr>
                <w:b/>
                <w:i/>
              </w:rPr>
              <w:t>The Author(s)</w:t>
            </w:r>
          </w:p>
          <w:p w14:paraId="0A25E3BA" w14:textId="77777777" w:rsidR="00EE5178" w:rsidRDefault="00A274B2">
            <w:pPr>
              <w:rPr>
                <w:b/>
              </w:rPr>
            </w:pPr>
            <w:r>
              <w:rPr>
                <w:b/>
                <w:i/>
              </w:rPr>
              <w:t xml:space="preserve">This is an open-access article under the </w:t>
            </w:r>
            <w:hyperlink r:id="rId14">
              <w:r>
                <w:rPr>
                  <w:b/>
                  <w:i/>
                  <w:color w:val="0000FF"/>
                </w:rPr>
                <w:t>CC BY-SA</w:t>
              </w:r>
            </w:hyperlink>
            <w:r>
              <w:rPr>
                <w:b/>
                <w:i/>
              </w:rPr>
              <w:t xml:space="preserve"> license.</w:t>
            </w:r>
          </w:p>
        </w:tc>
      </w:tr>
    </w:tbl>
    <w:p w14:paraId="4B47C7CA" w14:textId="77777777" w:rsidR="00EE5178" w:rsidRDefault="00EE5178">
      <w:pPr>
        <w:jc w:val="both"/>
        <w:rPr>
          <w:rFonts w:ascii="Calibri" w:eastAsia="Calibri" w:hAnsi="Calibri" w:cs="Calibri"/>
          <w:b/>
          <w:sz w:val="20"/>
        </w:rPr>
      </w:pPr>
    </w:p>
    <w:p w14:paraId="1BC87ADC" w14:textId="77777777" w:rsidR="00EE5178" w:rsidRDefault="00A274B2">
      <w:pPr>
        <w:rPr>
          <w:rFonts w:ascii="Calibri" w:eastAsia="Calibri" w:hAnsi="Calibri" w:cs="Calibri"/>
          <w:b/>
          <w:sz w:val="22"/>
          <w:szCs w:val="22"/>
        </w:rPr>
      </w:pPr>
      <w:bookmarkStart w:id="0" w:name="_heading=h.gjdgxs" w:colFirst="0" w:colLast="0"/>
      <w:bookmarkEnd w:id="0"/>
      <w:r>
        <w:rPr>
          <w:rFonts w:ascii="Calibri" w:eastAsia="Calibri" w:hAnsi="Calibri" w:cs="Calibri"/>
          <w:b/>
          <w:sz w:val="22"/>
          <w:szCs w:val="22"/>
        </w:rPr>
        <w:t>INTRODUCTION</w:t>
      </w:r>
    </w:p>
    <w:p w14:paraId="6B470E1B" w14:textId="1043F837" w:rsidR="003B560C" w:rsidRPr="00662FAB" w:rsidRDefault="003B560C" w:rsidP="00C27B0D">
      <w:pPr>
        <w:ind w:firstLine="426"/>
        <w:jc w:val="both"/>
        <w:rPr>
          <w:rFonts w:asciiTheme="minorHAnsi" w:hAnsiTheme="minorHAnsi" w:cstheme="minorHAnsi"/>
          <w:sz w:val="22"/>
          <w:szCs w:val="22"/>
        </w:rPr>
      </w:pPr>
      <w:bookmarkStart w:id="1" w:name="_Hlk200901587"/>
      <w:bookmarkStart w:id="2" w:name="_Hlk200901663"/>
      <w:r w:rsidRPr="00247A5C">
        <w:rPr>
          <w:rFonts w:asciiTheme="minorHAnsi" w:hAnsiTheme="minorHAnsi" w:cstheme="minorHAnsi"/>
          <w:sz w:val="22"/>
          <w:szCs w:val="22"/>
          <w:lang w:val="en-ID"/>
        </w:rPr>
        <w:t xml:space="preserve">The ability to read the Qur'an is a fundamental skill that every student must possess in Islamic religious education. </w:t>
      </w:r>
      <w:r w:rsidRPr="00F31806">
        <w:rPr>
          <w:rFonts w:asciiTheme="minorHAnsi" w:hAnsiTheme="minorHAnsi" w:cstheme="minorHAnsi"/>
          <w:sz w:val="22"/>
          <w:szCs w:val="22"/>
          <w:lang w:val="en-ID"/>
        </w:rPr>
        <w:t xml:space="preserve">Previous studies such as those by </w:t>
      </w:r>
      <w:r>
        <w:rPr>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DOI":"https://joqer.intischolar.id/index.php/joqer/article/view/4","author":[{"dropping-particle":"","family":"Fitriani","given":"Fitriani","non-dropping-particle":"","parse-names":false,"suffix":""},{"dropping-particle":"","family":"Susanti","given":"Weti","non-dropping-particle":"","parse-names":false,"suffix":""},{"dropping-particle":"","family":"Putri","given":"Nadia","non-dropping-particle":"","parse-names":false,"suffix":""}],"container-title":"Journal of Quranic Teaching and Learning","id":"ITEM-1","issue":"1","issued":{"date-parts":[["2024"]]},"page":"1-10","title":"Five Challenges of Quran Learning in Islamic Education Institutions","type":"article-journal","volume":"1"},"uris":["http://www.mendeley.com/documents/?uuid=c6e327f5-fd35-4251-9710-87416cd494ec"]}],"mendeley":{"formattedCitation":"(Fitriani et al., 2024)","manualFormatting":"Fitriani et al. (2024)","plainTextFormattedCitation":"(Fitriani et al., 2024)","previouslyFormattedCitation":"(Fitriani et al., 2024)"},"properties":{"noteIndex":0},"schema":"https://github.com/citation-style-language/schema/raw/master/csl-citation.json"}</w:instrText>
      </w:r>
      <w:r>
        <w:rPr>
          <w:rFonts w:asciiTheme="minorHAnsi" w:hAnsiTheme="minorHAnsi" w:cstheme="minorHAnsi"/>
          <w:sz w:val="22"/>
          <w:szCs w:val="22"/>
        </w:rPr>
        <w:fldChar w:fldCharType="separate"/>
      </w:r>
      <w:r w:rsidRPr="002D3609">
        <w:rPr>
          <w:rFonts w:asciiTheme="minorHAnsi" w:hAnsiTheme="minorHAnsi" w:cstheme="minorHAnsi"/>
          <w:noProof/>
          <w:sz w:val="22"/>
          <w:szCs w:val="22"/>
        </w:rPr>
        <w:t xml:space="preserve">Fitriani et al. </w:t>
      </w:r>
      <w:r>
        <w:rPr>
          <w:rFonts w:asciiTheme="minorHAnsi" w:hAnsiTheme="minorHAnsi" w:cstheme="minorHAnsi"/>
          <w:noProof/>
          <w:sz w:val="22"/>
          <w:szCs w:val="22"/>
        </w:rPr>
        <w:t>(</w:t>
      </w:r>
      <w:r w:rsidRPr="002D3609">
        <w:rPr>
          <w:rFonts w:asciiTheme="minorHAnsi" w:hAnsiTheme="minorHAnsi" w:cstheme="minorHAnsi"/>
          <w:noProof/>
          <w:sz w:val="22"/>
          <w:szCs w:val="22"/>
        </w:rPr>
        <w:t>2024)</w:t>
      </w:r>
      <w:r>
        <w:rPr>
          <w:rFonts w:asciiTheme="minorHAnsi" w:hAnsiTheme="minorHAnsi" w:cstheme="minorHAnsi"/>
          <w:sz w:val="22"/>
          <w:szCs w:val="22"/>
        </w:rPr>
        <w:fldChar w:fldCharType="end"/>
      </w:r>
      <w:r>
        <w:rPr>
          <w:rFonts w:asciiTheme="minorHAnsi" w:hAnsiTheme="minorHAnsi" w:cstheme="minorHAnsi"/>
          <w:sz w:val="22"/>
          <w:szCs w:val="22"/>
        </w:rPr>
        <w:t xml:space="preserve">, </w:t>
      </w:r>
      <w:r>
        <w:rPr>
          <w:rStyle w:val="FootnoteReference"/>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{"citationItems":[{"id":"ITEM-1","itemData":{"DOI":"10.24252/jis.v7i1.15035","ISSN":"2407-5353","abstract":"This study examines the ability to read and write Al Qur’an and its effect on learning achievement of Islamic education for students at SDN Inpres 12/79 Kampuno, Barebbo Sub-district, Bone Regency with main issues (1) What is the level of reading and writing ability of the Qur’an for students in SDN Inpres 12/79 Kampuno, Barebbo Sub-district, Bone Regency? (2) What factors influence the ability to read and write the Qur'an for students at SDN Inpres 12/79 Kampuno, Barebbo Sub-district, Bone Regency? (3) the effect of reading and writing al-Qur'an on the learning achievement of Islamic education at SDN Inpres 12/79 Kampuno, Barebbo Sub-district, Bone Regency?. To answer these problems, the authors use library research, that is, researchers examine theories in books relating to reading and writing of the Qur’an and field research, researchers examining data taken in the field, which consists of questionnaires, interviews (interviews), observations, documentation and data analysis methods inductively, deductively and comparatively. Results showed that the ability to read and write Al Qur’an for students in SDN Inpres 12/79 Kampuno, Barebbo Sub-district, Bone Regency was fluent. Factors that influence the learning achievement of Islamic education for students in SDN Inpres 12/79 Kampuno, Barebbo Sub-district, Bone Regency are internal and extrenal factors. The ability to read and write the Qur'an has a significant influence on the learning achievement of Islamic education for students in SDN Inpres 12/79 Kampuno, Barebbo Sub-district, Bone Regency.","author":[{"dropping-particle":"","family":"Harta","given":"Muhammad","non-dropping-particle":"","parse-names":false,"suffix":""}],"container-title":"Journal of Islam and Science","id":"ITEM-1","issue":"1","issued":{"date-parts":[["2020"]]},"page":"49-54","title":"Role of Al-Qur'an Read and Write Ability toward Achievement of Islamic Education for Students at SDN Inpres 12/79 Kampuno Attobaja Village Barebbo Sub-District Bone Regency","type":"article-journal","volume":"7"},"uris":["http://www.mendeley.com/documents/?uuid=796d3f30-3cad-4dfa-9700-f9362f3c6e85"]}],"mendeley":{"formattedCitation":"(Harta, 2020)","manualFormatting":"Harta  (2020)","plainTextFormattedCitation":"(Harta, 2020)","previouslyFormattedCitation":"(Harta, 2020)"},"properties":{"noteIndex":0},"schema":"https://github.com/citation-style-language/schema/raw/master/csl-citation.json"}</w:instrText>
      </w:r>
      <w:r>
        <w:rPr>
          <w:rStyle w:val="FootnoteReference"/>
          <w:rFonts w:asciiTheme="minorHAnsi" w:hAnsiTheme="minorHAnsi" w:cstheme="minorHAnsi"/>
          <w:sz w:val="22"/>
          <w:szCs w:val="22"/>
        </w:rPr>
        <w:fldChar w:fldCharType="separate"/>
      </w:r>
      <w:r>
        <w:rPr>
          <w:rFonts w:asciiTheme="minorHAnsi" w:hAnsiTheme="minorHAnsi" w:cstheme="minorHAnsi"/>
          <w:noProof/>
          <w:sz w:val="22"/>
          <w:szCs w:val="22"/>
        </w:rPr>
        <w:t>Harta  (2020)</w:t>
      </w:r>
      <w:r>
        <w:rPr>
          <w:rStyle w:val="FootnoteReference"/>
          <w:rFonts w:asciiTheme="minorHAnsi" w:hAnsiTheme="minorHAnsi" w:cstheme="minorHAnsi"/>
          <w:sz w:val="22"/>
          <w:szCs w:val="22"/>
        </w:rPr>
        <w:fldChar w:fldCharType="end"/>
      </w:r>
      <w:r>
        <w:rPr>
          <w:rFonts w:asciiTheme="minorHAnsi" w:hAnsiTheme="minorHAnsi" w:cstheme="minorHAnsi"/>
          <w:sz w:val="22"/>
          <w:szCs w:val="22"/>
        </w:rPr>
        <w:t xml:space="preserve">, </w:t>
      </w:r>
      <w:r>
        <w:rPr>
          <w:rStyle w:val="FootnoteReference"/>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{"citationItems":[{"id":"ITEM-1","itemData":{"DOI":"10.33511/misykat.v1n1.181","ISSN":"2527-8371","abstract":"Pada saat akan menjadi mahasiswa maupun kegiatan perkuliahan praktikum Praktik Membaca al-Quran (PMQ), mahasiswa IAIN Palangka Raya telah mengikuti test membaca al-Quran namun kemampuan membaca masih belum maksimal diperoleh mahasiswa yang mengalami kesulitan untuk membaca al-Quran dengan baik dan benar. Tujuan penelitian ini adalah mencoba menggali problem sebelum dan proses yang dilalui mahasiswa, sehingga akan ditemukan solusi atas persoalan kemampuan baca al-Quran mahasiswa IAIN Palangka Raya. Penelitian dilakukan di IAIN Palangka Raya. Penelitian ini akan menggunakan pendekatan deskriptif kualitatif. Informan adalah mahasiswa IAIN Palangka Raya. Teknik pengumpulan data yang digunakan pada penelitian adalah: wawancara, observasi dan dokumentasi. Penelitian ini menunjukkan bahwa: Metodologi yang digunakan mahasiswa IAIN Palangka Raya dalam mempelajari al-Quran pertama kali dominan diperoleh dari orang tua, kemudian diperoleh dari keluarga lainnya, selanjutnya diperoleh melalui guru mengaji maupun lembaga. Pendayagunaan kompetensi baca al-Quran oleh mahasiswa IAIN Palangka Raya, jika senantiasa dibaca dan dipelajari akan semakin baik bacaan al-Quran bahkan dapat mengajarkan kepada yang lainnya. Refleksi yang diperoleh dari pembelajaran al-Quran ketenangan hati, mendapatkan petunjuk, pahala yang berlipat dari bacaan al-Quran.Kata Kunci : Metodologi, Belajar, Baca Tulis al-Quran","author":[{"dropping-particle":"","family":"Hartati","given":"Zaenap","non-dropping-particle":"","parse-names":false,"suffix":""},{"dropping-particle":"","family":"Emawati","given":"Emawati","non-dropping-particle":"","parse-names":false,"suffix":""},{"dropping-particle":"","family":"Dalimunte","given":"Latifah Anum","non-dropping-particle":"","parse-names":false,"suffix":""}],"container-title":"MISYKAT: Jurnal Ilmu-ilmu Al-Quran, Hadist, Syari'ah dan Tarbiyah","id":"ITEM-1","issue":"1","issued":{"date-parts":[["2016"]]},"page":"181","title":"Metodologi Baca Tulis Al-Quran: Refleksi Belajar Al-Quran Pada Mahasiswa IAIN Palangkaraya","type":"article-journal","volume":"1"},"uris":["http://www.mendeley.com/documents/?uuid=489dc637-cbe5-4993-b3a8-34e112088efd"]}],"mendeley":{"formattedCitation":"(Hartati et al., 2016)","manualFormatting":"Hartati et al. (2016)","plainTextFormattedCitation":"(Hartati et al., 2016)","previouslyFormattedCitation":"(Hartati et al., 2016)"},"properties":{"noteIndex":0},"schema":"https://github.com/citation-style-language/schema/raw/master/csl-citation.json"}</w:instrText>
      </w:r>
      <w:r>
        <w:rPr>
          <w:rStyle w:val="FootnoteReference"/>
          <w:rFonts w:asciiTheme="minorHAnsi" w:hAnsiTheme="minorHAnsi" w:cstheme="minorHAnsi"/>
          <w:sz w:val="22"/>
          <w:szCs w:val="22"/>
        </w:rPr>
        <w:fldChar w:fldCharType="separate"/>
      </w:r>
      <w:r>
        <w:rPr>
          <w:rFonts w:asciiTheme="minorHAnsi" w:hAnsiTheme="minorHAnsi" w:cstheme="minorHAnsi"/>
          <w:noProof/>
          <w:sz w:val="22"/>
          <w:szCs w:val="22"/>
        </w:rPr>
        <w:t>Hartati et al. (2016)</w:t>
      </w:r>
      <w:r>
        <w:rPr>
          <w:rStyle w:val="FootnoteReference"/>
          <w:rFonts w:asciiTheme="minorHAnsi" w:hAnsiTheme="minorHAnsi" w:cstheme="minorHAnsi"/>
          <w:sz w:val="22"/>
          <w:szCs w:val="22"/>
        </w:rPr>
        <w:fldChar w:fldCharType="end"/>
      </w:r>
      <w:r>
        <w:rPr>
          <w:rFonts w:asciiTheme="minorHAnsi" w:hAnsiTheme="minorHAnsi" w:cstheme="minorHAnsi"/>
          <w:sz w:val="22"/>
          <w:szCs w:val="22"/>
        </w:rPr>
        <w:t xml:space="preserve">, </w:t>
      </w:r>
      <w:r>
        <w:rPr>
          <w:rStyle w:val="FootnoteReference"/>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DOI":"http://digilib.iain-palangkaraya.ac.id/5571/1/Buku%20Pembelajaran%20Al-qur%E2%80%99an%20Hadits_Saiful%20Lutfi%2C%20dkk.pdf","ISBN":"9786231745040","author":[{"dropping-particle":"","family":"Lutfi","given":"Saiful","non-dropping-particle":"","parse-names":false,"suffix":""},{"dropping-particle":"","family":"Sardimi","given":"Sardimi","non-dropping-particle":"","parse-names":false,"suffix":""},{"dropping-particle":"","family":"Norhidayah","given":"Siti","non-dropping-particle":"","parse-names":false,"suffix":""}],"edition":"Pertama","editor":[{"dropping-particle":"","family":"Surawan","given":"Surawan","non-dropping-particle":"","parse-names":false,"suffix":""}],"id":"ITEM-1","issued":{"date-parts":[["2024"]]},"number-of-pages":"182","publisher":"K-Media","publisher-place":"Banguntaoan, Bantul, Yogyakarta","title":"Al Qur an Hadits","type":"book"},"uris":["http://www.mendeley.com/documents/?uuid=d0e53083-7904-4a79-9b84-aedf1885d2b2"]}],"mendeley":{"formattedCitation":"(Lutfi et al., 2024)","manualFormatting":"Lutfi et al. (2024)","plainTextFormattedCitation":"(Lutfi et al., 2024)","previouslyFormattedCitation":"(Lutfi et al., 2024)"},"properties":{"noteIndex":0},"schema":"https://github.com/citation-style-language/schema/raw/master/csl-citation.json"}</w:instrText>
      </w:r>
      <w:r>
        <w:rPr>
          <w:rStyle w:val="FootnoteReference"/>
          <w:rFonts w:asciiTheme="minorHAnsi" w:hAnsiTheme="minorHAnsi" w:cstheme="minorHAnsi"/>
          <w:sz w:val="22"/>
          <w:szCs w:val="22"/>
        </w:rPr>
        <w:fldChar w:fldCharType="separate"/>
      </w:r>
      <w:r>
        <w:rPr>
          <w:rFonts w:asciiTheme="minorHAnsi" w:hAnsiTheme="minorHAnsi" w:cstheme="minorHAnsi"/>
          <w:noProof/>
          <w:sz w:val="22"/>
          <w:szCs w:val="22"/>
        </w:rPr>
        <w:t>Lutfi et al. (2024)</w:t>
      </w:r>
      <w:r>
        <w:rPr>
          <w:rStyle w:val="FootnoteReference"/>
          <w:rFonts w:asciiTheme="minorHAnsi" w:hAnsiTheme="minorHAnsi" w:cstheme="minorHAnsi"/>
          <w:sz w:val="22"/>
          <w:szCs w:val="22"/>
        </w:rPr>
        <w:fldChar w:fldCharType="end"/>
      </w:r>
      <w:r>
        <w:rPr>
          <w:rFonts w:asciiTheme="minorHAnsi" w:hAnsiTheme="minorHAnsi" w:cstheme="minorHAnsi"/>
          <w:sz w:val="22"/>
          <w:szCs w:val="22"/>
        </w:rPr>
        <w:t xml:space="preserve">, and </w:t>
      </w:r>
      <w:r>
        <w:rPr>
          <w:rStyle w:val="FootnoteReference"/>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{"citationItems":[{"id":"ITEM-1","itemData":{"DOI":"10.33650/afkarina.v9i1.9357","ISSN":"2088-0219","abstract":"This research focuses on the role of Al-Qur’an literacy in deepening students’ understanding of Islamic Religious Education and developing their moral and ethical character. This research explores how Al-Qur’an literacy functions as a reading skill and a tool for developing critical, reflective thinking and a holistic understanding of Islamic teachings. This research uses qualitative methods, including interviews, observation, and documentation techniques, to explore Al-Qur’an literacy experiences, perceptions, and practices at Middle School. The research results show that Al-Qur’an literacy significantly impacts understanding Islamic Religious Education material and developing students’ character. However, this research also identified challenges in implementation, such as a need for more time allocation in the curriculum and variations in reading skill levels among students. The implications of this research emphasize the need for adaptive learning strategies and additional support to increase the effectiveness of Al-Qur’an literacy in religious education.","author":[{"dropping-particle":"","family":"Nurkholifah","given":"Siti","non-dropping-particle":"","parse-names":false,"suffix":""}],"container-title":"AFKARINA: Jurnal Pendidikan Agama Islam","id":"ITEM-1","issue":"1","issued":{"date-parts":[["2024"]]},"page":"47-60","title":"The Role of Al-Quran Literacy in Deepening Understanding of Islamic Religious Education","type":"article-journal","volume":"9"},"uris":["http://www.mendeley.com/documents/?uuid=5e055838-d884-4ff1-b6cf-ab6a37e608e2"]}],"mendeley":{"formattedCitation":"(Nurkholifah, 2024)","manualFormatting":"Nurkholifah (2024)","plainTextFormattedCitation":"(Nurkholifah, 2024)","previouslyFormattedCitation":"(Nurkholifah, 2024)"},"properties":{"noteIndex":0},"schema":"https://github.com/citation-style-language/schema/raw/master/csl-citation.json"}</w:instrText>
      </w:r>
      <w:r>
        <w:rPr>
          <w:rStyle w:val="FootnoteReference"/>
          <w:rFonts w:asciiTheme="minorHAnsi" w:hAnsiTheme="minorHAnsi" w:cstheme="minorHAnsi"/>
          <w:sz w:val="22"/>
          <w:szCs w:val="22"/>
        </w:rPr>
        <w:fldChar w:fldCharType="separate"/>
      </w:r>
      <w:r w:rsidRPr="002D3609">
        <w:rPr>
          <w:rFonts w:asciiTheme="minorHAnsi" w:hAnsiTheme="minorHAnsi" w:cstheme="minorHAnsi"/>
          <w:bCs/>
          <w:noProof/>
          <w:sz w:val="22"/>
          <w:szCs w:val="22"/>
        </w:rPr>
        <w:t xml:space="preserve">Nurkholifah </w:t>
      </w:r>
      <w:r>
        <w:rPr>
          <w:rFonts w:asciiTheme="minorHAnsi" w:hAnsiTheme="minorHAnsi" w:cstheme="minorHAnsi"/>
          <w:bCs/>
          <w:noProof/>
          <w:sz w:val="22"/>
          <w:szCs w:val="22"/>
        </w:rPr>
        <w:t>(</w:t>
      </w:r>
      <w:r w:rsidRPr="002D3609">
        <w:rPr>
          <w:rFonts w:asciiTheme="minorHAnsi" w:hAnsiTheme="minorHAnsi" w:cstheme="minorHAnsi"/>
          <w:bCs/>
          <w:noProof/>
          <w:sz w:val="22"/>
          <w:szCs w:val="22"/>
        </w:rPr>
        <w:t>2024)</w:t>
      </w:r>
      <w:r>
        <w:rPr>
          <w:rStyle w:val="FootnoteReference"/>
          <w:rFonts w:asciiTheme="minorHAnsi" w:hAnsiTheme="minorHAnsi" w:cstheme="minorHAnsi"/>
          <w:sz w:val="22"/>
          <w:szCs w:val="22"/>
        </w:rPr>
        <w:fldChar w:fldCharType="end"/>
      </w:r>
      <w:r>
        <w:rPr>
          <w:rFonts w:asciiTheme="minorHAnsi" w:hAnsiTheme="minorHAnsi" w:cstheme="minorHAnsi"/>
          <w:sz w:val="22"/>
          <w:szCs w:val="22"/>
        </w:rPr>
        <w:t xml:space="preserve"> </w:t>
      </w:r>
      <w:r w:rsidRPr="00F31806">
        <w:rPr>
          <w:rFonts w:asciiTheme="minorHAnsi" w:hAnsiTheme="minorHAnsi" w:cstheme="minorHAnsi"/>
          <w:sz w:val="22"/>
          <w:szCs w:val="22"/>
          <w:lang w:val="en-ID"/>
        </w:rPr>
        <w:t>have proven that this skill is one of the most important aspects of religious education.</w:t>
      </w:r>
      <w:r>
        <w:rPr>
          <w:rFonts w:asciiTheme="minorHAnsi" w:hAnsiTheme="minorHAnsi" w:cstheme="minorHAnsi"/>
          <w:sz w:val="22"/>
          <w:szCs w:val="22"/>
          <w:lang w:val="en-ID"/>
        </w:rPr>
        <w:t xml:space="preserve"> </w:t>
      </w:r>
      <w:r w:rsidRPr="00247A5C">
        <w:rPr>
          <w:rFonts w:asciiTheme="minorHAnsi" w:hAnsiTheme="minorHAnsi" w:cstheme="minorHAnsi"/>
          <w:sz w:val="22"/>
          <w:szCs w:val="22"/>
          <w:lang w:val="en-ID"/>
        </w:rPr>
        <w:t>In addition to being a source of teachings and guidelines for Muslims, the Qur'an also plays a major role in shaping the character and morals of students</w:t>
      </w:r>
      <w:r>
        <w:rPr>
          <w:rFonts w:asciiTheme="minorHAnsi" w:hAnsiTheme="minorHAnsi" w:cstheme="minorHAnsi"/>
          <w:sz w:val="22"/>
          <w:szCs w:val="22"/>
          <w:lang w:val="en-ID"/>
        </w:rPr>
        <w:t xml:space="preserve"> </w:t>
      </w:r>
      <w:r>
        <w:rPr>
          <w:rStyle w:val="FootnoteReference"/>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author":[{"dropping-particle":"","family":"Kusmita","given":"Riya","non-dropping-particle":"","parse-names":false,"suffix":""},{"dropping-particle":"","family":"Hartati","given":"Zainap","non-dropping-particle":"","parse-names":false,"suffix":""},{"dropping-particle":"","family":"Alfajar","given":"Eko","non-dropping-particle":"","parse-names":false,"suffix":""}],"container-title":"GEMBIRA","id":"ITEM-1","issue":"5","issued":{"date-parts":[["2024"]]},"page":"1761-1769","title":"Pendampingan Metode Tilawati Untuk Meningkatkan Kualitas Membaca Al-Qur'an Di SMPN 8 Palangkaraya","type":"article-journal","volume":"2"},"uris":["http://www.mendeley.com/documents/?uuid=f4062d52-4ffe-4657-9a1d-14bfce7ac133"]}],"mendeley":{"formattedCitation":"(Kusmita et al., 2024)","manualFormatting":"(Kusmita et al., 2024;","plainTextFormattedCitation":"(Kusmita et al., 2024)","previouslyFormattedCitation":"(Kusmita et al., 2024)"},"properties":{"noteIndex":0},"schema":"https://github.com/citation-style-language/schema/raw/master/csl-citation.json"}</w:instrText>
      </w:r>
      <w:r>
        <w:rPr>
          <w:rStyle w:val="FootnoteReference"/>
          <w:rFonts w:asciiTheme="minorHAnsi" w:hAnsiTheme="minorHAnsi" w:cstheme="minorHAnsi"/>
          <w:sz w:val="22"/>
          <w:szCs w:val="22"/>
        </w:rPr>
        <w:fldChar w:fldCharType="separate"/>
      </w:r>
      <w:r>
        <w:rPr>
          <w:rFonts w:asciiTheme="minorHAnsi" w:hAnsiTheme="minorHAnsi" w:cstheme="minorHAnsi"/>
          <w:noProof/>
          <w:sz w:val="22"/>
          <w:szCs w:val="22"/>
        </w:rPr>
        <w:t>(Kusmita et al., 2024;</w:t>
      </w:r>
      <w:r>
        <w:rPr>
          <w:rStyle w:val="FootnoteReference"/>
          <w:rFonts w:asciiTheme="minorHAnsi" w:hAnsiTheme="minorHAnsi" w:cstheme="minorHAnsi"/>
          <w:sz w:val="22"/>
          <w:szCs w:val="22"/>
        </w:rPr>
        <w:fldChar w:fldCharType="end"/>
      </w:r>
      <w:r>
        <w:rPr>
          <w:rStyle w:val="FootnoteReference"/>
          <w:rFonts w:asciiTheme="minorHAnsi" w:hAnsiTheme="minorHAnsi" w:cstheme="minorHAnsi"/>
          <w:sz w:val="22"/>
          <w:szCs w:val="22"/>
        </w:rPr>
        <w:t xml:space="preserve"> </w:t>
      </w:r>
      <w:r>
        <w:rPr>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DOI":"https://pub.ruangrosadi.com/jurnal-ilmiah/index.php/jedar/article/view/22","author":[{"dropping-particle":"","family":"Mansur","given":"Mansur","non-dropping-particle":"","parse-names":false,"suffix":""}],"container-title":"Journal of Education: Development and Review (JEDAR)","id":"ITEM-1","issue":"2","issued":{"date-parts":[["2024"]]},"page":"84-88","title":"The Impact of Quranic Education on Student Development at Amaliah Ciawi Bogor High School","type":"article-journal","volume":"1"},"uris":["http://www.mendeley.com/documents/?uuid=edebaf11-834a-4ee1-9119-8aecbb027a5d"]}],"mendeley":{"formattedCitation":"(Mansur, 2024)","manualFormatting":"Mansur (2024)","plainTextFormattedCitation":"(Mansur, 2024)","previouslyFormattedCitation":"(Mansur, 2024)"},"properties":{"noteIndex":0},"schema":"https://github.com/citation-style-language/schema/raw/master/csl-citation.json"}</w:instrText>
      </w:r>
      <w:r>
        <w:rPr>
          <w:rFonts w:asciiTheme="minorHAnsi" w:hAnsiTheme="minorHAnsi" w:cstheme="minorHAnsi"/>
          <w:sz w:val="22"/>
          <w:szCs w:val="22"/>
        </w:rPr>
        <w:fldChar w:fldCharType="separate"/>
      </w:r>
      <w:r w:rsidRPr="008C5795">
        <w:rPr>
          <w:rFonts w:asciiTheme="minorHAnsi" w:hAnsiTheme="minorHAnsi" w:cstheme="minorHAnsi"/>
          <w:noProof/>
          <w:sz w:val="22"/>
          <w:szCs w:val="22"/>
        </w:rPr>
        <w:t xml:space="preserve">Mansur </w:t>
      </w:r>
      <w:r>
        <w:rPr>
          <w:rFonts w:asciiTheme="minorHAnsi" w:hAnsiTheme="minorHAnsi" w:cstheme="minorHAnsi"/>
          <w:noProof/>
          <w:sz w:val="22"/>
          <w:szCs w:val="22"/>
        </w:rPr>
        <w:t>(</w:t>
      </w:r>
      <w:r w:rsidRPr="008C5795">
        <w:rPr>
          <w:rFonts w:asciiTheme="minorHAnsi" w:hAnsiTheme="minorHAnsi" w:cstheme="minorHAnsi"/>
          <w:noProof/>
          <w:sz w:val="22"/>
          <w:szCs w:val="22"/>
        </w:rPr>
        <w:t>2024)</w:t>
      </w:r>
      <w:r>
        <w:rPr>
          <w:rFonts w:asciiTheme="minorHAnsi" w:hAnsiTheme="minorHAnsi" w:cstheme="minorHAnsi"/>
          <w:sz w:val="22"/>
          <w:szCs w:val="22"/>
        </w:rPr>
        <w:fldChar w:fldCharType="end"/>
      </w:r>
      <w:r>
        <w:rPr>
          <w:rFonts w:asciiTheme="minorHAnsi" w:hAnsiTheme="minorHAnsi" w:cstheme="minorHAnsi"/>
          <w:sz w:val="22"/>
          <w:szCs w:val="22"/>
        </w:rPr>
        <w:t>,</w:t>
      </w:r>
      <w:r w:rsidRPr="00BB7446">
        <w:rPr>
          <w:rFonts w:asciiTheme="minorHAnsi" w:hAnsiTheme="minorHAnsi" w:cstheme="minorHAnsi"/>
          <w:sz w:val="22"/>
          <w:szCs w:val="22"/>
        </w:rPr>
        <w:t xml:space="preserve"> </w:t>
      </w:r>
      <w:r>
        <w:rPr>
          <w:rStyle w:val="FootnoteReference"/>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{"citationItems":[{"id":"ITEM-1","itemData":{"DOI":"https://doi.org/10.59837/jpmba.v2i8.1527","author":[{"dropping-particle":"","family":"Astuti","given":"Mayang Sari","non-dropping-particle":"","parse-names":false,"suffix":""},{"dropping-particle":"","family":"Abdullah","given":"","non-dropping-particle":"","parse-names":false,"suffix":""}],"container-title":"Pengabdian Masyarakat Bangsa","id":"ITEM-1","issue":"8","issued":{"date-parts":[["2024"]]},"page":"3614-3621","title":"Pendampingan Penerapan Metode Tilawati Pada Siswa Tadarus MAN Kota Palangka Raya","type":"article-journal","volume":"2"},"uris":["http://www.mendeley.com/documents/?uuid=1a6b61a3-455a-4b7e-8d54-35439d28feb4"]}],"mendeley":{"formattedCitation":"(Astuti &amp; Abdullah, 2024)","manualFormatting":"Astuti &amp; Abdullah, 2024:","plainTextFormattedCitation":"(Astuti &amp; Abdullah, 2024)","previouslyFormattedCitation":"(Astuti &amp; Abdullah, 2024)"},"properties":{"noteIndex":0},"schema":"https://github.com/citation-style-language/schema/raw/master/csl-citation.json"}</w:instrText>
      </w:r>
      <w:r>
        <w:rPr>
          <w:rStyle w:val="FootnoteReference"/>
          <w:rFonts w:asciiTheme="minorHAnsi" w:hAnsiTheme="minorHAnsi" w:cstheme="minorHAnsi"/>
          <w:sz w:val="22"/>
          <w:szCs w:val="22"/>
        </w:rPr>
        <w:fldChar w:fldCharType="separate"/>
      </w:r>
      <w:r>
        <w:rPr>
          <w:rFonts w:asciiTheme="minorHAnsi" w:hAnsiTheme="minorHAnsi" w:cstheme="minorHAnsi"/>
          <w:noProof/>
          <w:sz w:val="22"/>
          <w:szCs w:val="22"/>
        </w:rPr>
        <w:t>Astuti &amp; Abdullah, 2024:</w:t>
      </w:r>
      <w:r>
        <w:rPr>
          <w:rStyle w:val="FootnoteReference"/>
          <w:rFonts w:asciiTheme="minorHAnsi" w:hAnsiTheme="minorHAnsi" w:cstheme="minorHAnsi"/>
          <w:sz w:val="22"/>
          <w:szCs w:val="22"/>
        </w:rPr>
        <w:fldChar w:fldCharType="end"/>
      </w:r>
      <w:r w:rsidRPr="00BB7446">
        <w:rPr>
          <w:rFonts w:asciiTheme="minorHAnsi" w:hAnsiTheme="minorHAnsi" w:cstheme="minorHAnsi"/>
          <w:sz w:val="22"/>
          <w:szCs w:val="22"/>
        </w:rPr>
        <w:t xml:space="preserve"> </w:t>
      </w:r>
      <w:r>
        <w:rPr>
          <w:rStyle w:val="FootnoteReference"/>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DOI":"http://digilib.iain-palangkaraya.ac.id/5571/1/Buku%20Pembelajaran%20Al-qur%E2%80%99an%20Hadits_Saiful%20Lutfi%2C%20dkk.pdf","ISBN":"9786231745040","author":[{"dropping-particle":"","family":"Lutfi","given":"Saiful","non-dropping-particle":"","parse-names":false,"suffix":""},{"dropping-particle":"","family":"Sardimi","given":"Sardimi","non-dropping-particle":"","parse-names":false,"suffix":""},{"dropping-particle":"","family":"Norhidayah","given":"Siti","non-dropping-particle":"","parse-names":false,"suffix":""}],"edition":"Pertama","editor":[{"dropping-particle":"","family":"Surawan","given":"Surawan","non-dropping-particle":"","parse-names":false,"suffix":""}],"id":"ITEM-1","issued":{"date-parts":[["2024"]]},"number-of-pages":"182","publisher":"K-Media","publisher-place":"Banguntaoan, Bantul, Yogyakarta","title":"Al Qur an Hadits","type":"book"},"uris":["http://www.mendeley.com/documents/?uuid=d0e53083-7904-4a79-9b84-aedf1885d2b2"]}],"mendeley":{"formattedCitation":"(Lutfi et al., 2024)","manualFormatting":"Lutfi et al., 2024)","plainTextFormattedCitation":"(Lutfi et al., 2024)","previouslyFormattedCitation":"(Lutfi et al., 2024)"},"properties":{"noteIndex":0},"schema":"https://github.com/citation-style-language/schema/raw/master/csl-citation.json"}</w:instrText>
      </w:r>
      <w:r>
        <w:rPr>
          <w:rStyle w:val="FootnoteReference"/>
          <w:rFonts w:asciiTheme="minorHAnsi" w:hAnsiTheme="minorHAnsi" w:cstheme="minorHAnsi"/>
          <w:sz w:val="22"/>
          <w:szCs w:val="22"/>
        </w:rPr>
        <w:fldChar w:fldCharType="separate"/>
      </w:r>
      <w:r>
        <w:rPr>
          <w:rFonts w:asciiTheme="minorHAnsi" w:hAnsiTheme="minorHAnsi" w:cstheme="minorHAnsi"/>
          <w:noProof/>
          <w:sz w:val="22"/>
          <w:szCs w:val="22"/>
        </w:rPr>
        <w:t>Lutfi et al., 2024)</w:t>
      </w:r>
      <w:r>
        <w:rPr>
          <w:rStyle w:val="FootnoteReference"/>
          <w:rFonts w:asciiTheme="minorHAnsi" w:hAnsiTheme="minorHAnsi" w:cstheme="minorHAnsi"/>
          <w:sz w:val="22"/>
          <w:szCs w:val="22"/>
        </w:rPr>
        <w:fldChar w:fldCharType="end"/>
      </w:r>
      <w:r w:rsidRPr="00BB7446">
        <w:rPr>
          <w:rFonts w:asciiTheme="minorHAnsi" w:hAnsiTheme="minorHAnsi" w:cstheme="minorHAnsi"/>
          <w:sz w:val="22"/>
          <w:szCs w:val="22"/>
        </w:rPr>
        <w:t>.</w:t>
      </w:r>
      <w:r>
        <w:rPr>
          <w:rFonts w:asciiTheme="minorHAnsi" w:hAnsiTheme="minorHAnsi" w:cstheme="minorHAnsi"/>
          <w:sz w:val="22"/>
          <w:szCs w:val="22"/>
        </w:rPr>
        <w:t xml:space="preserve"> </w:t>
      </w:r>
      <w:r w:rsidRPr="00247A5C">
        <w:rPr>
          <w:rFonts w:asciiTheme="minorHAnsi" w:hAnsiTheme="minorHAnsi" w:cstheme="minorHAnsi"/>
          <w:sz w:val="22"/>
          <w:szCs w:val="22"/>
          <w:lang w:val="en-ID"/>
        </w:rPr>
        <w:t>Therefore, mastering the art of reading the Qur'an properly and tartil is a key requirement that must be mastered from an early age so that students are able to understand and practice Islamic teachings correctly</w:t>
      </w:r>
      <w:r>
        <w:rPr>
          <w:rFonts w:asciiTheme="minorHAnsi" w:hAnsiTheme="minorHAnsi" w:cstheme="minorHAnsi"/>
          <w:sz w:val="22"/>
          <w:szCs w:val="22"/>
          <w:lang w:val="en-ID"/>
        </w:rPr>
        <w:t xml:space="preserve"> </w:t>
      </w:r>
      <w:r>
        <w:rPr>
          <w:rStyle w:val="FootnoteReference"/>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author":[{"dropping-particle":"","family":"Ihsanuddin","given":"Ihsanuddin","non-dropping-particle":"","parse-names":false,"suffix":""},{"dropping-particle":"","family":"Abdullah","given":"Abdullah","non-dropping-particle":"","parse-names":false,"suffix":""},{"dropping-particle":"","family":"Jainah","given":"Jainah","non-dropping-particle":"","parse-names":false,"suffix":""}],"container-title":"Jurnal Pelayanan Masyarakat","id":"ITEM-1","issue":"4","issued":{"date-parts":[["2024"]]},"page":"99-206","title":"Pelatihan Menulis Huruf Hijaiyah melalui Media Papan Flanel untuk Meningkatkan Keterampilan Menulis Huruf Hijaiyah Siswa di SD IT Al-Ghazali Palangka Raya","type":"article-journal","volume":"1"},"uris":["http://www.mendeley.com/documents/?uuid=9179a722-0fa2-4349-b5f6-e1ddfacfa2ea"]}],"mendeley":{"formattedCitation":"(Ihsanuddin et al., 2024)","manualFormatting":"(Ihsanuddin et al., 2024;","plainTextFormattedCitation":"(Ihsanuddin et al., 2024)","previouslyFormattedCitation":"(Ihsanuddin et al., 2024)"},"properties":{"noteIndex":0},"schema":"https://github.com/citation-style-language/schema/raw/master/csl-citation.json"}</w:instrText>
      </w:r>
      <w:r>
        <w:rPr>
          <w:rStyle w:val="FootnoteReference"/>
          <w:rFonts w:asciiTheme="minorHAnsi" w:hAnsiTheme="minorHAnsi" w:cstheme="minorHAnsi"/>
          <w:sz w:val="22"/>
          <w:szCs w:val="22"/>
        </w:rPr>
        <w:fldChar w:fldCharType="separate"/>
      </w:r>
      <w:r>
        <w:rPr>
          <w:rFonts w:asciiTheme="minorHAnsi" w:hAnsiTheme="minorHAnsi" w:cstheme="minorHAnsi"/>
          <w:noProof/>
          <w:sz w:val="22"/>
          <w:szCs w:val="22"/>
        </w:rPr>
        <w:t>(Ihsanuddin et al., 2024;</w:t>
      </w:r>
      <w:r>
        <w:rPr>
          <w:rStyle w:val="FootnoteReference"/>
          <w:rFonts w:asciiTheme="minorHAnsi" w:hAnsiTheme="minorHAnsi" w:cstheme="minorHAnsi"/>
          <w:sz w:val="22"/>
          <w:szCs w:val="22"/>
        </w:rPr>
        <w:fldChar w:fldCharType="end"/>
      </w:r>
      <w:r w:rsidRPr="00BB7446">
        <w:rPr>
          <w:rFonts w:asciiTheme="minorHAnsi" w:hAnsiTheme="minorHAnsi" w:cstheme="minorHAnsi"/>
          <w:sz w:val="22"/>
          <w:szCs w:val="22"/>
        </w:rPr>
        <w:t xml:space="preserve"> </w:t>
      </w:r>
      <w:r>
        <w:rPr>
          <w:rStyle w:val="FootnoteReference"/>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{"citationItems":[{"id":"ITEM-1","itemData":{"DOI":"10.37680/scaffolding.v6i3.7053","author":[{"dropping-particle":"","family":"Nasution","given":"Muhammad Roihan","non-dropping-particle":"","parse-names":false,"suffix":""}],"container-title":"Scaffolding: Jurnal Pendidikan Islam dan Multikulturalisme","id":"ITEM-1","issue":"3","issued":{"date-parts":[["2024"]]},"page":"409-421","title":"Asbāb al - Nuzūl Al-Qur ' an and its Relevance to Islamic Education","type":"article-journal","volume":"6"},"uris":["http://www.mendeley.com/documents/?uuid=3153771c-acc7-4773-920e-4e15598f71e7"]}],"mendeley":{"formattedCitation":"(Nasution, 2024)","manualFormatting":"Nasution, 2024;","plainTextFormattedCitation":"(Nasution, 2024)","previouslyFormattedCitation":"(Nasution, 2024)"},"properties":{"noteIndex":0},"schema":"https://github.com/citation-style-language/schema/raw/master/csl-citation.json"}</w:instrText>
      </w:r>
      <w:r>
        <w:rPr>
          <w:rStyle w:val="FootnoteReference"/>
          <w:rFonts w:asciiTheme="minorHAnsi" w:hAnsiTheme="minorHAnsi" w:cstheme="minorHAnsi"/>
          <w:sz w:val="22"/>
          <w:szCs w:val="22"/>
        </w:rPr>
        <w:fldChar w:fldCharType="separate"/>
      </w:r>
      <w:r>
        <w:rPr>
          <w:rFonts w:asciiTheme="minorHAnsi" w:hAnsiTheme="minorHAnsi" w:cstheme="minorHAnsi"/>
          <w:noProof/>
          <w:sz w:val="22"/>
          <w:szCs w:val="22"/>
        </w:rPr>
        <w:t>Nasution, 2024;</w:t>
      </w:r>
      <w:r>
        <w:rPr>
          <w:rStyle w:val="FootnoteReference"/>
          <w:rFonts w:asciiTheme="minorHAnsi" w:hAnsiTheme="minorHAnsi" w:cstheme="minorHAnsi"/>
          <w:sz w:val="22"/>
          <w:szCs w:val="22"/>
        </w:rPr>
        <w:fldChar w:fldCharType="end"/>
      </w:r>
      <w:r w:rsidRPr="00BB7446">
        <w:rPr>
          <w:rFonts w:asciiTheme="minorHAnsi" w:hAnsiTheme="minorHAnsi" w:cstheme="minorHAnsi"/>
          <w:sz w:val="22"/>
          <w:szCs w:val="22"/>
        </w:rPr>
        <w:t xml:space="preserve"> </w:t>
      </w:r>
      <w:r>
        <w:rPr>
          <w:rStyle w:val="FootnoteReference"/>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DOI":"10.37680/scaffolding.v6i3.6411","author":[{"dropping-particle":"","family":"Oktafera","given":"Annisa","non-dropping-particle":"","parse-names":false,"suffix":""},{"dropping-particle":"","family":"Nasution","given":"Zulkipli","non-dropping-particle":"","parse-names":false,"suffix":""}],"container-title":"Scaffolding: Jurnal Pendidikan Islam dan Multikulturalisme","id":"ITEM-1","issue":"3","issued":{"date-parts":[["2025"]]},"page":"333-352","title":"Implementation Of The Quran Reading Program In Forming Students' Disciplined Character","type":"article-journal","volume":"6"},"uris":["http://www.mendeley.com/documents/?uuid=eb9574c2-bf26-4339-846d-23236707f6b0"]}],"mendeley":{"formattedCitation":"(Oktafera &amp; Nasution, 2025)","manualFormatting":"Oktafera &amp; Nasution, 2025;","plainTextFormattedCitation":"(Oktafera &amp; Nasution, 2025)","previouslyFormattedCitation":"(Oktafera &amp; Nasution, 2025)"},"properties":{"noteIndex":0},"schema":"https://github.com/citation-style-language/schema/raw/master/csl-citation.json"}</w:instrText>
      </w:r>
      <w:r>
        <w:rPr>
          <w:rStyle w:val="FootnoteReference"/>
          <w:rFonts w:asciiTheme="minorHAnsi" w:hAnsiTheme="minorHAnsi" w:cstheme="minorHAnsi"/>
          <w:sz w:val="22"/>
          <w:szCs w:val="22"/>
        </w:rPr>
        <w:fldChar w:fldCharType="separate"/>
      </w:r>
      <w:r>
        <w:rPr>
          <w:rFonts w:asciiTheme="minorHAnsi" w:hAnsiTheme="minorHAnsi" w:cstheme="minorHAnsi"/>
          <w:noProof/>
          <w:sz w:val="22"/>
          <w:szCs w:val="22"/>
        </w:rPr>
        <w:t>Oktafera &amp; Nasution, 2025;</w:t>
      </w:r>
      <w:r>
        <w:rPr>
          <w:rStyle w:val="FootnoteReference"/>
          <w:rFonts w:asciiTheme="minorHAnsi" w:hAnsiTheme="minorHAnsi" w:cstheme="minorHAnsi"/>
          <w:sz w:val="22"/>
          <w:szCs w:val="22"/>
        </w:rPr>
        <w:fldChar w:fldCharType="end"/>
      </w:r>
      <w:r w:rsidRPr="00BB7446">
        <w:rPr>
          <w:rFonts w:asciiTheme="minorHAnsi" w:hAnsiTheme="minorHAnsi" w:cstheme="minorHAnsi"/>
          <w:sz w:val="22"/>
          <w:szCs w:val="22"/>
        </w:rPr>
        <w:t xml:space="preserve"> </w:t>
      </w:r>
      <w:r>
        <w:rPr>
          <w:rStyle w:val="FootnoteReference"/>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{"citationItems":[{"id":"ITEM-1","itemData":{"DOI":"https://doi.org/10.61132/ardhi.v2i5.777","abstract":"Penguatan spiritualitas siswa merupakan salah satu tujuan utama yang dicapai dalam pendidikan Islam melalui berbagai kegiatan keagamaan, yang juga memberikan kesempatan kepada mahasiswa/I MBKM IAIN Palangka Raya untuk menerapkan ilmu yang didapatkan dari kampus. Dalam konteks ini, penelitian ini fokus pada program pendampingan tadarus Al-Qur'an di MAN Kota Palangka Raya, yang bertujuan untuk meningkatkan partisipasi siswa dalam membaca Al-Qur'an sebelum pembelajaran. Pendampingan dilaksanakan oleh mahasiswa dari program Asistensi Mengajar Merdeka Belajar Kampus Merdeka (MBKM) dengan pendekatan Service Learning (SL), yang melibatkan mahasiswa dalam pengalaman langsung yang bermanfaat bagi siswa. Kegiatan ini dilakukan di MAN Kota Palangka Raya dengan metode tadarus berjamaah. Hasil dari pengabdian ini menunjukkan bahwa partisipasi siswa dalam kegiatan tadarus meningkat signifikan setelah pendampingan, dengan siswa yang sebelumnya sering terlambat mulai menunjukkan kedisiplinan yang lebih baik dan meningkatnya kesadaran akan pentingnya tadarus sebagai persiapan spiritual sebelum belajar. Program ini berhasil menciptakan suasana kelas yang lebih religius dan kondusif.","author":[{"dropping-particle":"","family":"Wahdarohmah","given":"Nabila Khairunnisa","non-dropping-particle":"","parse-names":false,"suffix":""},{"dropping-particle":"","family":"Abdullah","given":"","non-dropping-particle":"","parse-names":false,"suffix":""}],"container-title":"ARDHI : Jurnal Pengabdian dalam Negri","id":"ITEM-1","issue":"5","issued":{"date-parts":[["2024"]]},"page":"133-139","title":"Pendampingan Membaca Al-Qur'an Sebelum Belajar Melalui Kegiatan Pengabdian Mahasiswa IAIN Palangka Raya","type":"article-journal","volume":"2"},"uris":["http://www.mendeley.com/documents/?uuid=89b7f209-9821-46ff-959e-272c58cbe529"]}],"mendeley":{"formattedCitation":"(Wahdarohmah &amp; Abdullah, 2024)","manualFormatting":"Wahdarohmah &amp; Abdullah, 2024)","plainTextFormattedCitation":"(Wahdarohmah &amp; Abdullah, 2024)","previouslyFormattedCitation":"(Wahdarohmah &amp; Abdullah, 2024)"},"properties":{"noteIndex":0},"schema":"https://github.com/citation-style-language/schema/raw/master/csl-citation.json"}</w:instrText>
      </w:r>
      <w:r>
        <w:rPr>
          <w:rStyle w:val="FootnoteReference"/>
          <w:rFonts w:asciiTheme="minorHAnsi" w:hAnsiTheme="minorHAnsi" w:cstheme="minorHAnsi"/>
          <w:sz w:val="22"/>
          <w:szCs w:val="22"/>
        </w:rPr>
        <w:fldChar w:fldCharType="separate"/>
      </w:r>
      <w:r>
        <w:rPr>
          <w:rFonts w:asciiTheme="minorHAnsi" w:hAnsiTheme="minorHAnsi" w:cstheme="minorHAnsi"/>
          <w:noProof/>
          <w:sz w:val="22"/>
          <w:szCs w:val="22"/>
        </w:rPr>
        <w:t>Wahdarohmah &amp; Abdullah, 2024)</w:t>
      </w:r>
      <w:r>
        <w:rPr>
          <w:rStyle w:val="FootnoteReference"/>
          <w:rFonts w:asciiTheme="minorHAnsi" w:hAnsiTheme="minorHAnsi" w:cstheme="minorHAnsi"/>
          <w:sz w:val="22"/>
          <w:szCs w:val="22"/>
        </w:rPr>
        <w:fldChar w:fldCharType="end"/>
      </w:r>
      <w:r w:rsidRPr="00BB7446">
        <w:rPr>
          <w:rFonts w:asciiTheme="minorHAnsi" w:hAnsiTheme="minorHAnsi" w:cstheme="minorHAnsi"/>
          <w:sz w:val="22"/>
          <w:szCs w:val="22"/>
        </w:rPr>
        <w:t xml:space="preserve">. </w:t>
      </w:r>
      <w:r w:rsidRPr="003C7A32">
        <w:rPr>
          <w:rFonts w:asciiTheme="minorHAnsi" w:hAnsiTheme="minorHAnsi" w:cstheme="minorHAnsi"/>
          <w:sz w:val="22"/>
          <w:szCs w:val="22"/>
          <w:lang w:val="en-ID"/>
        </w:rPr>
        <w:t xml:space="preserve">This ability is not limited to technical aspects such as reading letters and tajwid, but also includes understanding the </w:t>
      </w:r>
      <w:r w:rsidRPr="003C7A32">
        <w:rPr>
          <w:rFonts w:asciiTheme="minorHAnsi" w:hAnsiTheme="minorHAnsi" w:cstheme="minorHAnsi"/>
          <w:sz w:val="22"/>
          <w:szCs w:val="22"/>
          <w:lang w:val="en-ID"/>
        </w:rPr>
        <w:lastRenderedPageBreak/>
        <w:t>meaning and appreciating the values contained therein</w:t>
      </w:r>
      <w:r>
        <w:rPr>
          <w:rFonts w:asciiTheme="minorHAnsi" w:hAnsiTheme="minorHAnsi" w:cstheme="minorHAnsi"/>
          <w:sz w:val="22"/>
          <w:szCs w:val="22"/>
          <w:lang w:val="en-ID"/>
        </w:rPr>
        <w:t xml:space="preserve"> </w:t>
      </w:r>
      <w:r>
        <w:rPr>
          <w:rFonts w:asciiTheme="minorHAnsi" w:hAnsiTheme="minorHAnsi" w:cstheme="minorHAnsi"/>
          <w:sz w:val="22"/>
          <w:szCs w:val="22"/>
          <w:lang w:val="en-ID"/>
        </w:rPr>
        <w:fldChar w:fldCharType="begin" w:fldLock="1"/>
      </w:r>
      <w:r>
        <w:rPr>
          <w:rFonts w:asciiTheme="minorHAnsi" w:hAnsiTheme="minorHAnsi" w:cstheme="minorHAnsi"/>
          <w:sz w:val="22"/>
          <w:szCs w:val="22"/>
          <w:lang w:val="en-ID"/>
        </w:rPr>
        <w:instrText>ADDIN CSL_CITATION {"citationItems":[{"id":"ITEM-1","itemData":{"DOI":"https://doi.org/10.53802/fitrah.v15i2.921","author":[{"dropping-particle":"","family":"Saputra","given":"Reza Aprian","non-dropping-particle":"","parse-names":false,"suffix":""},{"dropping-particle":"","family":"Subki","given":"Subki","non-dropping-particle":"","parse-names":false,"suffix":""}],"container-title":"Fitrah: Journal of Islamic Education","id":"ITEM-1","issue":"2","issued":{"date-parts":[["2024"]]},"page":"128-142","title":"INTEGRATION OF QURANIC VALUES IN LEARNING STRATEGIES : Review of Interpretation and Implementation","type":"article-journal","volume":"5"},"uris":["http://www.mendeley.com/documents/?uuid=a3dabf8e-ac01-4c3d-939d-2af40b85bf0c"]}],"mendeley":{"formattedCitation":"(Saputra &amp; Subki, 2024)","manualFormatting":"(Saputra &amp; Subki, 2024;","plainTextFormattedCitation":"(Saputra &amp; Subki, 2024)","previouslyFormattedCitation":"(Saputra &amp; Subki, 2024)"},"properties":{"noteIndex":0},"schema":"https://github.com/citation-style-language/schema/raw/master/csl-citation.json"}</w:instrText>
      </w:r>
      <w:r>
        <w:rPr>
          <w:rFonts w:asciiTheme="minorHAnsi" w:hAnsiTheme="minorHAnsi" w:cstheme="minorHAnsi"/>
          <w:sz w:val="22"/>
          <w:szCs w:val="22"/>
          <w:lang w:val="en-ID"/>
        </w:rPr>
        <w:fldChar w:fldCharType="separate"/>
      </w:r>
      <w:r w:rsidRPr="002D5ABA">
        <w:rPr>
          <w:rFonts w:asciiTheme="minorHAnsi" w:hAnsiTheme="minorHAnsi" w:cstheme="minorHAnsi"/>
          <w:noProof/>
          <w:sz w:val="22"/>
          <w:szCs w:val="22"/>
          <w:lang w:val="en-ID"/>
        </w:rPr>
        <w:t>(Saputra &amp; Subki, 2024</w:t>
      </w:r>
      <w:r>
        <w:rPr>
          <w:rFonts w:asciiTheme="minorHAnsi" w:hAnsiTheme="minorHAnsi" w:cstheme="minorHAnsi"/>
          <w:noProof/>
          <w:sz w:val="22"/>
          <w:szCs w:val="22"/>
          <w:lang w:val="en-ID"/>
        </w:rPr>
        <w:t>;</w:t>
      </w:r>
      <w:r>
        <w:rPr>
          <w:rFonts w:asciiTheme="minorHAnsi" w:hAnsiTheme="minorHAnsi" w:cstheme="minorHAnsi"/>
          <w:sz w:val="22"/>
          <w:szCs w:val="22"/>
          <w:lang w:val="en-ID"/>
        </w:rPr>
        <w:fldChar w:fldCharType="end"/>
      </w:r>
      <w:r>
        <w:rPr>
          <w:rFonts w:asciiTheme="minorHAnsi" w:hAnsiTheme="minorHAnsi" w:cstheme="minorHAnsi"/>
          <w:sz w:val="22"/>
          <w:szCs w:val="22"/>
          <w:lang w:val="en-ID"/>
        </w:rPr>
        <w:t xml:space="preserve"> </w:t>
      </w:r>
      <w:r>
        <w:rPr>
          <w:rFonts w:asciiTheme="minorHAnsi" w:hAnsiTheme="minorHAnsi" w:cstheme="minorHAnsi"/>
          <w:sz w:val="22"/>
          <w:szCs w:val="22"/>
          <w:lang w:val="en-ID"/>
        </w:rPr>
        <w:fldChar w:fldCharType="begin" w:fldLock="1"/>
      </w:r>
      <w:r>
        <w:rPr>
          <w:rFonts w:asciiTheme="minorHAnsi" w:hAnsiTheme="minorHAnsi" w:cstheme="minorHAnsi"/>
          <w:sz w:val="22"/>
          <w:szCs w:val="22"/>
          <w:lang w:val="en-ID"/>
        </w:rPr>
        <w:instrText>ADDIN CSL_CITATION {"citationItems":[{"id":"ITEM-1","itemData":{"DOI":"10.55227/ijhess.v3i2.612","abstract":"The research aims to analyze: (1) the Al-Qur'an literacy program (2) the implementation of the Al-Qur'an literacy program (3) the evaluation process for the implementation of Al-Qur'an literacy (4) supporting factors and inhibiting factors for Al-Qur'an literacy 'an. This research was conducted at the Al-Abid Islamic elementary school in Medan Selayang. This research is qualitative analysis research with a descriptive approach. The data source is the wafa Qur'an literacy coordinator and the right brain wafa method book, while the secondary data source is library materials, literature and research first. Data collection instruments are documentation and interviews. Qualitative data analysis techniques include descriptions of material, construction and language aspects, while quantitative analysis of validity, reliability, level of difficulty, distinguishability and distractors. Research findings show: (1) Al-Qur'an literacy program at Al Islamic Private Elementary School -Abid refers to government regulations, in this case Minister of Education and Culture Regulation No. 23 of 2015 as a form of implementing literacy to support the educational process and teaching and learning activities. (2) Implementation of the Al-Qur'an literacy program, using the wafa method, using hijaz tones, using special Wafa books, using a level system, evaluation (3) Evaluation process of the results of implementing Al-Qur'an literacy, carried out every 2 weeks includes daily, weekly and monthly assessments to determine the extent of students' Al-Qur'an literacy results (4) Supporting and inhibiting factors for the Al-Qur'an literacy program, Supporting factors for Al-Qur'an literacy, Continuous method , Good cooperation between teachers and parents of students, Factors inhibiting Al-Qur'an literacy, From teacher factors, lack of time in teaching Al-Qur'an literacy, Students who do not repeat their lessons at home, Short implementation time.","author":[{"dropping-particle":"","family":"Nurhalizah","given":"Siti","non-dropping-particle":"","parse-names":false,"suffix":""},{"dropping-particle":"","family":"Siahaan","given":"Amiruddin","non-dropping-particle":"","parse-names":false,"suffix":""},{"dropping-particle":"","family":"Fadhila Daulai","given":"Afrahul","non-dropping-particle":"","parse-names":false,"suffix":""}],"container-title":"International Journal Of Humanities Education and Social Sciences (IJHESS)","id":"ITEM-1","issue":"2","issued":{"date-parts":[["2023"]]},"page":"975-988","title":"Implementation of the Al-Qur'an Literacy Program to Improve the Ability to Read the Al-Qur'an at the Al-Abid Islamic Elementary School in Medan","type":"article-journal","volume":"3"},"uris":["http://www.mendeley.com/documents/?uuid=f7295b71-eed1-407f-a44c-4e61b8c058a7"]}],"mendeley":{"formattedCitation":"(Nurhalizah et al., 2023)","manualFormatting":"Nurhalizah et al., 2023;","plainTextFormattedCitation":"(Nurhalizah et al., 2023)","previouslyFormattedCitation":"(Nurhalizah et al., 2023)"},"properties":{"noteIndex":0},"schema":"https://github.com/citation-style-language/schema/raw/master/csl-citation.json"}</w:instrText>
      </w:r>
      <w:r>
        <w:rPr>
          <w:rFonts w:asciiTheme="minorHAnsi" w:hAnsiTheme="minorHAnsi" w:cstheme="minorHAnsi"/>
          <w:sz w:val="22"/>
          <w:szCs w:val="22"/>
          <w:lang w:val="en-ID"/>
        </w:rPr>
        <w:fldChar w:fldCharType="separate"/>
      </w:r>
      <w:r w:rsidRPr="00787F27">
        <w:rPr>
          <w:rFonts w:asciiTheme="minorHAnsi" w:hAnsiTheme="minorHAnsi" w:cstheme="minorHAnsi"/>
          <w:noProof/>
          <w:sz w:val="22"/>
          <w:szCs w:val="22"/>
          <w:lang w:val="en-ID"/>
        </w:rPr>
        <w:t>Nurhalizah et al., 2023</w:t>
      </w:r>
      <w:r>
        <w:rPr>
          <w:rFonts w:asciiTheme="minorHAnsi" w:hAnsiTheme="minorHAnsi" w:cstheme="minorHAnsi"/>
          <w:noProof/>
          <w:sz w:val="22"/>
          <w:szCs w:val="22"/>
          <w:lang w:val="en-ID"/>
        </w:rPr>
        <w:t>;</w:t>
      </w:r>
      <w:r>
        <w:rPr>
          <w:rFonts w:asciiTheme="minorHAnsi" w:hAnsiTheme="minorHAnsi" w:cstheme="minorHAnsi"/>
          <w:sz w:val="22"/>
          <w:szCs w:val="22"/>
          <w:lang w:val="en-ID"/>
        </w:rPr>
        <w:fldChar w:fldCharType="end"/>
      </w:r>
      <w:r>
        <w:rPr>
          <w:rFonts w:asciiTheme="minorHAnsi" w:hAnsiTheme="minorHAnsi" w:cstheme="minorHAnsi"/>
          <w:sz w:val="22"/>
          <w:szCs w:val="22"/>
          <w:lang w:val="en-ID"/>
        </w:rPr>
        <w:t xml:space="preserve"> </w:t>
      </w:r>
      <w:r>
        <w:rPr>
          <w:rFonts w:asciiTheme="minorHAnsi" w:hAnsiTheme="minorHAnsi" w:cstheme="minorHAnsi"/>
          <w:sz w:val="22"/>
          <w:szCs w:val="22"/>
          <w:lang w:val="en-ID"/>
        </w:rPr>
        <w:fldChar w:fldCharType="begin" w:fldLock="1"/>
      </w:r>
      <w:r>
        <w:rPr>
          <w:rFonts w:asciiTheme="minorHAnsi" w:hAnsiTheme="minorHAnsi" w:cstheme="minorHAnsi"/>
          <w:sz w:val="22"/>
          <w:szCs w:val="22"/>
          <w:lang w:val="en-ID"/>
        </w:rPr>
        <w:instrText>ADDIN CSL_CITATION {"citationItems":[{"id":"ITEM-1","itemData":{"author":[{"dropping-particle":"","family":"Hanafi","given":"Muharami Aisyah","non-dropping-particle":"","parse-names":false,"suffix":""},{"dropping-particle":"","family":"Somad","given":"Momod Abdul","non-dropping-particle":"","parse-names":false,"suffix":""},{"dropping-particle":"","family":"Romli","given":"Usup","non-dropping-particle":"","parse-names":false,"suffix":""},{"dropping-particle":"","family":"Almasi","given":"Mustapha","non-dropping-particle":"","parse-names":false,"suffix":""}],"container-title":"Journal of Islamic Education Research","id":"ITEM-1","issue":"3","issued":{"date-parts":[["2024"]]},"page":"239-252","title":"Strategy to Improve al-Quran Reading and Writing Skills in Public Schools","type":"article-journal","volume":"5"},"uris":["http://www.mendeley.com/documents/?uuid=4d6576c3-63bd-4ba9-8511-adae932f7327"]}],"mendeley":{"formattedCitation":"(M. A. Hanafi et al., 2024)","manualFormatting":"Hanafi et al., 2024;","plainTextFormattedCitation":"(M. A. Hanafi et al., 2024)","previouslyFormattedCitation":"(M. A. Hanafi et al., 2024)"},"properties":{"noteIndex":0},"schema":"https://github.com/citation-style-language/schema/raw/master/csl-citation.json"}</w:instrText>
      </w:r>
      <w:r>
        <w:rPr>
          <w:rFonts w:asciiTheme="minorHAnsi" w:hAnsiTheme="minorHAnsi" w:cstheme="minorHAnsi"/>
          <w:sz w:val="22"/>
          <w:szCs w:val="22"/>
          <w:lang w:val="en-ID"/>
        </w:rPr>
        <w:fldChar w:fldCharType="separate"/>
      </w:r>
      <w:r w:rsidRPr="00787F27">
        <w:rPr>
          <w:rFonts w:asciiTheme="minorHAnsi" w:hAnsiTheme="minorHAnsi" w:cstheme="minorHAnsi"/>
          <w:noProof/>
          <w:sz w:val="22"/>
          <w:szCs w:val="22"/>
          <w:lang w:val="en-ID"/>
        </w:rPr>
        <w:t>Hanafi et al., 2024</w:t>
      </w:r>
      <w:r>
        <w:rPr>
          <w:rFonts w:asciiTheme="minorHAnsi" w:hAnsiTheme="minorHAnsi" w:cstheme="minorHAnsi"/>
          <w:noProof/>
          <w:sz w:val="22"/>
          <w:szCs w:val="22"/>
          <w:lang w:val="en-ID"/>
        </w:rPr>
        <w:t>;</w:t>
      </w:r>
      <w:r>
        <w:rPr>
          <w:rFonts w:asciiTheme="minorHAnsi" w:hAnsiTheme="minorHAnsi" w:cstheme="minorHAnsi"/>
          <w:sz w:val="22"/>
          <w:szCs w:val="22"/>
          <w:lang w:val="en-ID"/>
        </w:rPr>
        <w:fldChar w:fldCharType="end"/>
      </w:r>
      <w:r>
        <w:rPr>
          <w:rFonts w:asciiTheme="minorHAnsi" w:hAnsiTheme="minorHAnsi" w:cstheme="minorHAnsi"/>
          <w:sz w:val="22"/>
          <w:szCs w:val="22"/>
          <w:lang w:val="en-ID"/>
        </w:rPr>
        <w:t xml:space="preserve"> </w:t>
      </w:r>
      <w:r>
        <w:rPr>
          <w:rFonts w:asciiTheme="minorHAnsi" w:hAnsiTheme="minorHAnsi" w:cstheme="minorHAnsi"/>
          <w:sz w:val="22"/>
          <w:szCs w:val="22"/>
          <w:lang w:val="en-ID"/>
        </w:rPr>
        <w:fldChar w:fldCharType="begin" w:fldLock="1"/>
      </w:r>
      <w:r>
        <w:rPr>
          <w:rFonts w:asciiTheme="minorHAnsi" w:hAnsiTheme="minorHAnsi" w:cstheme="minorHAnsi"/>
          <w:sz w:val="22"/>
          <w:szCs w:val="22"/>
          <w:lang w:val="en-ID"/>
        </w:rPr>
        <w:instrText>ADDIN CSL_CITATION {"citationItems":[{"id":"ITEM-1","itemData":{"DOI":"10.46870/jiat.v4i1.178.3","ISBN":"2013206534","author":[{"dropping-particle":"","family":"Saleh","given":"Fauzi","non-dropping-particle":"","parse-names":false,"suffix":""}],"container-title":"El-Sunan","id":"ITEM-1","issue":"1","issued":{"date-parts":[["2025"]]},"page":"1-23","title":"The Role of Hadith in Enchancing Quranic Literacy","type":"article-journal","volume":"3"},"uris":["http://www.mendeley.com/documents/?uuid=6098bb49-544b-4603-8bcd-575186bd2739"]}],"mendeley":{"formattedCitation":"(Saleh, 2025)","manualFormatting":"Saleh, 2025;","plainTextFormattedCitation":"(Saleh, 2025)","previouslyFormattedCitation":"(Saleh, 2025)"},"properties":{"noteIndex":0},"schema":"https://github.com/citation-style-language/schema/raw/master/csl-citation.json"}</w:instrText>
      </w:r>
      <w:r>
        <w:rPr>
          <w:rFonts w:asciiTheme="minorHAnsi" w:hAnsiTheme="minorHAnsi" w:cstheme="minorHAnsi"/>
          <w:sz w:val="22"/>
          <w:szCs w:val="22"/>
          <w:lang w:val="en-ID"/>
        </w:rPr>
        <w:fldChar w:fldCharType="separate"/>
      </w:r>
      <w:r w:rsidRPr="00787F27">
        <w:rPr>
          <w:rFonts w:asciiTheme="minorHAnsi" w:hAnsiTheme="minorHAnsi" w:cstheme="minorHAnsi"/>
          <w:noProof/>
          <w:sz w:val="22"/>
          <w:szCs w:val="22"/>
          <w:lang w:val="en-ID"/>
        </w:rPr>
        <w:t>Saleh, 2025</w:t>
      </w:r>
      <w:r>
        <w:rPr>
          <w:rFonts w:asciiTheme="minorHAnsi" w:hAnsiTheme="minorHAnsi" w:cstheme="minorHAnsi"/>
          <w:noProof/>
          <w:sz w:val="22"/>
          <w:szCs w:val="22"/>
          <w:lang w:val="en-ID"/>
        </w:rPr>
        <w:t>;</w:t>
      </w:r>
      <w:r>
        <w:rPr>
          <w:rFonts w:asciiTheme="minorHAnsi" w:hAnsiTheme="minorHAnsi" w:cstheme="minorHAnsi"/>
          <w:sz w:val="22"/>
          <w:szCs w:val="22"/>
          <w:lang w:val="en-ID"/>
        </w:rPr>
        <w:fldChar w:fldCharType="end"/>
      </w:r>
      <w:r w:rsidRPr="00BB7446">
        <w:rPr>
          <w:rFonts w:asciiTheme="minorHAnsi" w:hAnsiTheme="minorHAnsi" w:cstheme="minorHAnsi"/>
          <w:sz w:val="22"/>
          <w:szCs w:val="22"/>
        </w:rPr>
        <w:t xml:space="preserve"> </w:t>
      </w:r>
      <w:r>
        <w:rPr>
          <w:rStyle w:val="FootnoteReference"/>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ISBN":"9786025075100","author":[{"dropping-particle":"","family":"Hartati","given":"Zainap","non-dropping-particle":"","parse-names":false,"suffix":""}],"edition":"1","id":"ITEM-1","issued":{"date-parts":[["2017"]]},"number-of-pages":"613-619","publisher":"FTIK IAIN Salatiga","title":"Tasyrifin Karim, Merintis Pengembangan Baca Al-Qur‟An Untuk Orang Dewasa","type":"book"},"uris":["http://www.mendeley.com/documents/?uuid=b6a3ed06-f944-48f7-9dca-af844fe2cf4c"]}],"mendeley":{"formattedCitation":"(Hartati, 2017)","manualFormatting":"Hartati, 2017)","plainTextFormattedCitation":"(Hartati, 2017)","previouslyFormattedCitation":"(Hartati, 2017)"},"properties":{"noteIndex":0},"schema":"https://github.com/citation-style-language/schema/raw/master/csl-citation.json"}</w:instrText>
      </w:r>
      <w:r>
        <w:rPr>
          <w:rStyle w:val="FootnoteReference"/>
          <w:rFonts w:asciiTheme="minorHAnsi" w:hAnsiTheme="minorHAnsi" w:cstheme="minorHAnsi"/>
          <w:sz w:val="22"/>
          <w:szCs w:val="22"/>
        </w:rPr>
        <w:fldChar w:fldCharType="separate"/>
      </w:r>
      <w:r>
        <w:rPr>
          <w:rFonts w:asciiTheme="minorHAnsi" w:hAnsiTheme="minorHAnsi" w:cstheme="minorHAnsi"/>
          <w:noProof/>
          <w:sz w:val="22"/>
          <w:szCs w:val="22"/>
        </w:rPr>
        <w:t>Hartati, 2017)</w:t>
      </w:r>
      <w:r>
        <w:rPr>
          <w:rStyle w:val="FootnoteReference"/>
          <w:rFonts w:asciiTheme="minorHAnsi" w:hAnsiTheme="minorHAnsi" w:cstheme="minorHAnsi"/>
          <w:sz w:val="22"/>
          <w:szCs w:val="22"/>
        </w:rPr>
        <w:fldChar w:fldCharType="end"/>
      </w:r>
      <w:r w:rsidRPr="00BB7446">
        <w:rPr>
          <w:rFonts w:asciiTheme="minorHAnsi" w:hAnsiTheme="minorHAnsi" w:cstheme="minorHAnsi"/>
          <w:sz w:val="22"/>
          <w:szCs w:val="22"/>
        </w:rPr>
        <w:t>.</w:t>
      </w:r>
    </w:p>
    <w:p w14:paraId="1FF51520" w14:textId="3D26E55C" w:rsidR="003B560C" w:rsidRPr="00AB2405" w:rsidRDefault="003B560C" w:rsidP="00C27B0D">
      <w:pPr>
        <w:ind w:firstLine="426"/>
        <w:jc w:val="both"/>
        <w:rPr>
          <w:rFonts w:asciiTheme="minorHAnsi" w:hAnsiTheme="minorHAnsi" w:cstheme="minorHAnsi"/>
          <w:sz w:val="22"/>
          <w:szCs w:val="22"/>
          <w:lang w:val="en-ID"/>
        </w:rPr>
      </w:pPr>
      <w:r w:rsidRPr="003C7A32">
        <w:rPr>
          <w:rFonts w:asciiTheme="minorHAnsi" w:hAnsiTheme="minorHAnsi" w:cstheme="minorHAnsi"/>
          <w:sz w:val="22"/>
          <w:szCs w:val="22"/>
          <w:lang w:val="en-ID"/>
        </w:rPr>
        <w:t>Learning to read the Qur'an has become an integral part of the Islamic education curriculum at various school levels in Indonesia. This is reinforced by the implementation of Qur'an reading lessons at the junior high school level, as reflec</w:t>
      </w:r>
      <w:r>
        <w:rPr>
          <w:rFonts w:asciiTheme="minorHAnsi" w:hAnsiTheme="minorHAnsi" w:cstheme="minorHAnsi"/>
          <w:sz w:val="22"/>
          <w:szCs w:val="22"/>
          <w:lang w:val="en-ID"/>
        </w:rPr>
        <w:t>ted in study</w:t>
      </w:r>
      <w:r w:rsidRPr="00BB7446">
        <w:rPr>
          <w:rFonts w:asciiTheme="minorHAnsi" w:hAnsiTheme="minorHAnsi" w:cstheme="minorHAnsi"/>
          <w:sz w:val="22"/>
          <w:szCs w:val="22"/>
        </w:rPr>
        <w:t xml:space="preserve"> </w:t>
      </w:r>
      <w:r>
        <w:rPr>
          <w:rStyle w:val="FootnoteReference"/>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{"citationItems":[{"id":"ITEM-1","itemData":{"DOI":"https://doi.org/10.31004/jptam.v6i2.3895","ISSN":"9378-9385","abstract":"… pada kemampuan memahami Makharijul Huruf dan Ilmu Tajwid yang masih kurang 2. … mengenai Ilmu Tajwid khususnya hukum Nun Sukun (Nun Mati) / Tanwin dan hukum bacaan Mad…","author":[{"dropping-particle":"","family":"Kartika","given":"Mila","non-dropping-particle":"","parse-names":false,"suffix":""},{"dropping-particle":"","family":"Alfurqan","given":"","non-dropping-particle":"","parse-names":false,"suffix":""}],"container-title":"Jurnal Pendidikan Tambusai","id":"ITEM-1","issue":"no. 2","issued":{"date-parts":[["2022"]]},"page":"9378-9385","title":"Problematika Peserta Didik dalam Membaca Al-Qur'an di SMP Negeri 1 Lembah Melintang","type":"article-journal","volume":"vol. 6"},"uris":["http://www.mendeley.com/documents/?uuid=f79902ef-94f3-40f1-af4c-5fc092b07294"]}],"mendeley":{"formattedCitation":"(Kartika &amp; Alfurqan, 2022)","manualFormatting":"Kartika &amp; Alfurqan  (2022)","plainTextFormattedCitation":"(Kartika &amp; Alfurqan, 2022)","previouslyFormattedCitation":"(Kartika &amp; Alfurqan, 2022)"},"properties":{"noteIndex":0},"schema":"https://github.com/citation-style-language/schema/raw/master/csl-citation.json"}</w:instrText>
      </w:r>
      <w:r>
        <w:rPr>
          <w:rStyle w:val="FootnoteReference"/>
          <w:rFonts w:asciiTheme="minorHAnsi" w:hAnsiTheme="minorHAnsi" w:cstheme="minorHAnsi"/>
          <w:sz w:val="22"/>
          <w:szCs w:val="22"/>
        </w:rPr>
        <w:fldChar w:fldCharType="separate"/>
      </w:r>
      <w:r>
        <w:rPr>
          <w:rFonts w:asciiTheme="minorHAnsi" w:hAnsiTheme="minorHAnsi" w:cstheme="minorHAnsi"/>
          <w:noProof/>
          <w:sz w:val="22"/>
          <w:szCs w:val="22"/>
        </w:rPr>
        <w:t>Kartika &amp; Alfurqan  (2022)</w:t>
      </w:r>
      <w:r>
        <w:rPr>
          <w:rStyle w:val="FootnoteReference"/>
          <w:rFonts w:asciiTheme="minorHAnsi" w:hAnsiTheme="minorHAnsi" w:cstheme="minorHAnsi"/>
          <w:sz w:val="22"/>
          <w:szCs w:val="22"/>
        </w:rPr>
        <w:fldChar w:fldCharType="end"/>
      </w:r>
      <w:r>
        <w:rPr>
          <w:rFonts w:asciiTheme="minorHAnsi" w:hAnsiTheme="minorHAnsi" w:cstheme="minorHAnsi"/>
          <w:sz w:val="22"/>
          <w:szCs w:val="22"/>
        </w:rPr>
        <w:t xml:space="preserve"> and</w:t>
      </w:r>
      <w:r w:rsidRPr="00BB7446">
        <w:rPr>
          <w:rFonts w:asciiTheme="minorHAnsi" w:hAnsiTheme="minorHAnsi" w:cstheme="minorHAnsi"/>
          <w:sz w:val="22"/>
          <w:szCs w:val="22"/>
        </w:rPr>
        <w:t xml:space="preserve"> </w:t>
      </w:r>
      <w:r>
        <w:rPr>
          <w:rStyle w:val="FootnoteReference"/>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{"citationItems":[{"id":"ITEM-1","itemData":{"abstract":"The emphasis on literacy instruction in schools is an attempt to create a literate generation capable of building the nation in thefuture. Asliteracy ability of elementary schools in Padangsidimpuan is need tobe observed. The focus for this research is to analysis the difficulties elementary school students face when it comes to improving their literacy skills at school especially in elementary school by first discuss the reality of students' literacy skills in Padangsidimpuan,then it will discuss students' difficulties in improving literacy skills as a result of insufficient literacy practices and environments; and finally, it will discuss the necessary efforts. The method is descriptive qualitative in order to describe the elementary schooldifficulties in literacywith 10 elementary schools as respndend. The finding of this research shwoedthose stakeholdersare involved in efforts to improve elementary school students' literacy. In this case, policymakers (government), schools, teachers, and parents all have distinct roles and responsibilities based on their capacities. With the promotion of sound literacy practices and an adequate literacy environment, it is possible for our beloved Indonesia to birth a literate generation","author":[{"dropping-particle":"","family":"Rizqi","given":"Muhammad","non-dropping-particle":"","parse-names":false,"suffix":""},{"dropping-particle":"","family":"Faujianor","given":"Ahmad","non-dropping-particle":"","parse-names":false,"suffix":""},{"dropping-particle":"","family":"Yuliani","given":"Hadma","non-dropping-particle":"","parse-names":false,"suffix":""}],"container-title":"Attractive: Innovative Education Journal","id":"ITEM-1","issue":"3","issued":{"date-parts":[["2024"]]},"page":"414-422","title":"Validitas Pengembangan Media Pembelajaran Bagan dan Audio pada Materi Wudhu","type":"article-journal","volume":"6"},"uris":["http://www.mendeley.com/documents/?uuid=142f6ec5-7b9b-49cd-be59-047c3f543a5e"]}],"mendeley":{"formattedCitation":"(Rizqi et al., 2024)","manualFormatting":"Rizqi et al. (2024)","plainTextFormattedCitation":"(Rizqi et al., 2024)","previouslyFormattedCitation":"(Rizqi et al., 2024)"},"properties":{"noteIndex":0},"schema":"https://github.com/citation-style-language/schema/raw/master/csl-citation.json"}</w:instrText>
      </w:r>
      <w:r>
        <w:rPr>
          <w:rStyle w:val="FootnoteReference"/>
          <w:rFonts w:asciiTheme="minorHAnsi" w:hAnsiTheme="minorHAnsi" w:cstheme="minorHAnsi"/>
          <w:sz w:val="22"/>
          <w:szCs w:val="22"/>
        </w:rPr>
        <w:fldChar w:fldCharType="separate"/>
      </w:r>
      <w:r>
        <w:rPr>
          <w:rFonts w:asciiTheme="minorHAnsi" w:hAnsiTheme="minorHAnsi" w:cstheme="minorHAnsi"/>
          <w:noProof/>
          <w:sz w:val="22"/>
          <w:szCs w:val="22"/>
        </w:rPr>
        <w:t>Rizqi et al. (2024)</w:t>
      </w:r>
      <w:r>
        <w:rPr>
          <w:rStyle w:val="FootnoteReference"/>
          <w:rFonts w:asciiTheme="minorHAnsi" w:hAnsiTheme="minorHAnsi" w:cstheme="minorHAnsi"/>
          <w:sz w:val="22"/>
          <w:szCs w:val="22"/>
        </w:rPr>
        <w:fldChar w:fldCharType="end"/>
      </w:r>
      <w:r w:rsidRPr="00BB7446">
        <w:rPr>
          <w:rFonts w:asciiTheme="minorHAnsi" w:hAnsiTheme="minorHAnsi" w:cstheme="minorHAnsi"/>
          <w:sz w:val="22"/>
          <w:szCs w:val="22"/>
        </w:rPr>
        <w:t>.</w:t>
      </w:r>
      <w:r>
        <w:rPr>
          <w:rFonts w:asciiTheme="minorHAnsi" w:hAnsiTheme="minorHAnsi" w:cstheme="minorHAnsi"/>
          <w:sz w:val="22"/>
          <w:szCs w:val="22"/>
        </w:rPr>
        <w:t xml:space="preserve"> </w:t>
      </w:r>
      <w:r w:rsidRPr="00AB2405">
        <w:rPr>
          <w:rFonts w:asciiTheme="minorHAnsi" w:hAnsiTheme="minorHAnsi" w:cstheme="minorHAnsi"/>
          <w:sz w:val="22"/>
          <w:szCs w:val="22"/>
          <w:lang w:val="en-ID"/>
        </w:rPr>
        <w:t>Junior high schools have a responsibility to equip their students with adequate Quran reading skills. However, based on the results of observation and learning evaluation, there are still indications that most junior high school students have difficulty mastering Quran reading skills optimally. This condition is a serious concern given the importance of these skills in supporting the quality of religious education and character building of students.</w:t>
      </w:r>
    </w:p>
    <w:p w14:paraId="18383515" w14:textId="7DDA5CCB" w:rsidR="003B560C" w:rsidRPr="005F5861" w:rsidRDefault="003B560C" w:rsidP="00C27B0D">
      <w:pPr>
        <w:ind w:firstLine="426"/>
        <w:jc w:val="both"/>
        <w:rPr>
          <w:rFonts w:asciiTheme="minorHAnsi" w:hAnsiTheme="minorHAnsi" w:cstheme="minorHAnsi"/>
          <w:sz w:val="22"/>
          <w:szCs w:val="22"/>
          <w:lang w:val="en-ID"/>
        </w:rPr>
      </w:pPr>
      <w:r w:rsidRPr="005F5861">
        <w:rPr>
          <w:rFonts w:asciiTheme="minorHAnsi" w:hAnsiTheme="minorHAnsi" w:cstheme="minorHAnsi"/>
          <w:sz w:val="22"/>
          <w:szCs w:val="22"/>
          <w:lang w:val="en-ID"/>
        </w:rPr>
        <w:t>The lack of ability to read the Qur'an among students can have a negative impact not only on their academic performance in religious studies but also on their motivation and interest in further studying the Qur'an. Previous studies such as those by</w:t>
      </w:r>
      <w:r>
        <w:rPr>
          <w:rFonts w:asciiTheme="minorHAnsi" w:hAnsiTheme="minorHAnsi" w:cstheme="minorHAnsi"/>
          <w:sz w:val="22"/>
          <w:szCs w:val="22"/>
          <w:lang w:val="en-ID"/>
        </w:rPr>
        <w:t xml:space="preserve"> </w:t>
      </w:r>
      <w:r>
        <w:rPr>
          <w:rStyle w:val="FootnoteReference"/>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{"citationItems":[{"id":"ITEM-1","itemData":{"DOI":"10.58540/jipsi.v1i1.12","ISBN":"2008052028","abstract":"Penelitian ini membahas mengenai minat baca Al-Qur’an pada anak usia sekolah secara umum. Minat untuk membaca Al-Qur’an dikalangan anak usia sekolah (6-12 tahun) semakin berkurang karena pada usia tersebut anak masih suka bermain dan mudah terpengaruh lingkungan pergaulan. Disisi lain, kemajuan teknologi menjadikan anak usia sekolah lebih suka bermain gawai dibandingkan membaca Al-Qur’an. Maka dengan menggunakan metode penelitian kajian pustaka dari buku, jurnal, skripsi dan tesis yang membahas mengenai minat baca Al-Qur’an, artikel ini berisi pengertian minat baca Al-Qur’an, Cara Menumbuhkan dan Membangkitkan Minat Faktor yang Mempengaruhi Minat Membaca Al-Qur’an, Faktor yang Mempengaruhi Minat Membaca Al-Qur’an, Anak Usia Sekolah, Teknik Menumbuhkan Minat Baca Al-Qur’an pada Anak Usia Sekolah dan Metode Dalam Belajar Membaca Al-Qur’an. Adapun hasil penelitian yang didapatkan adalah rendahnya minat baca Al-Qur’an pada anak disebabkan oleh factor internal dari diri anak, factor lingkungan, social dan emosional. Maka perlu adanya metode dan cara yang tepat untuk membangkitkan minat baca Al-Qur’an pada anak usia dini yang sesuai dengan minat dan metode pengajaran sehingga anak termotivasi untuk mencintai Al-Qur’an sejak dini.","author":[{"dropping-particle":"","family":"Khoirurrizki","given":"Aisyah A'yun","non-dropping-particle":"","parse-names":false,"suffix":""},{"dropping-particle":"","family":"Bustam","given":"Betty Mauli Rosa","non-dropping-particle":"","parse-names":false,"suffix":""}],"container-title":"Jurnal Ilmu Pendidikan dan Sosial","id":"ITEM-1","issue":"1","issued":{"date-parts":[["2023"]]},"page":"47-59","title":"Analysis of Low Interest in Reading the Qur'an in School Age Children","type":"article-journal","volume":"1"},"uris":["http://www.mendeley.com/documents/?uuid=f97630d3-5b95-44b1-848c-24d4431b6185"]}],"mendeley":{"formattedCitation":"(Khoirurrizki &amp; Bustam, 2023)","manualFormatting":"Khoirurrizki &amp; Bustam (2023)","plainTextFormattedCitation":"(Khoirurrizki &amp; Bustam, 2023)","previouslyFormattedCitation":"(Khoirurrizki &amp; Bustam, 2023)"},"properties":{"noteIndex":0},"schema":"https://github.com/citation-style-language/schema/raw/master/csl-citation.json"}</w:instrText>
      </w:r>
      <w:r>
        <w:rPr>
          <w:rStyle w:val="FootnoteReference"/>
          <w:rFonts w:asciiTheme="minorHAnsi" w:hAnsiTheme="minorHAnsi" w:cstheme="minorHAnsi"/>
          <w:sz w:val="22"/>
          <w:szCs w:val="22"/>
        </w:rPr>
        <w:fldChar w:fldCharType="separate"/>
      </w:r>
      <w:r>
        <w:rPr>
          <w:rFonts w:asciiTheme="minorHAnsi" w:hAnsiTheme="minorHAnsi" w:cstheme="minorHAnsi"/>
          <w:noProof/>
          <w:sz w:val="22"/>
          <w:szCs w:val="22"/>
        </w:rPr>
        <w:t>Khoirurrizki &amp; Bustam (2023)</w:t>
      </w:r>
      <w:r>
        <w:rPr>
          <w:rStyle w:val="FootnoteReference"/>
          <w:rFonts w:asciiTheme="minorHAnsi" w:hAnsiTheme="minorHAnsi" w:cstheme="minorHAnsi"/>
          <w:sz w:val="22"/>
          <w:szCs w:val="22"/>
        </w:rPr>
        <w:fldChar w:fldCharType="end"/>
      </w:r>
      <w:r>
        <w:rPr>
          <w:rFonts w:asciiTheme="minorHAnsi" w:hAnsiTheme="minorHAnsi" w:cstheme="minorHAnsi"/>
          <w:sz w:val="22"/>
          <w:szCs w:val="22"/>
        </w:rPr>
        <w:t>,</w:t>
      </w:r>
      <w:r w:rsidRPr="00BB7446">
        <w:rPr>
          <w:rFonts w:asciiTheme="minorHAnsi" w:hAnsiTheme="minorHAnsi" w:cstheme="minorHAnsi"/>
          <w:sz w:val="22"/>
          <w:szCs w:val="22"/>
        </w:rPr>
        <w:t xml:space="preserve"> </w:t>
      </w:r>
      <w:r>
        <w:rPr>
          <w:rStyle w:val="FootnoteReference"/>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{"citationItems":[{"id":"ITEM-1","itemData":{"DOI":"10.31949/am.v5i2.7535","abstract":"This research is a literature study using data sourced from textbooks, journals, observational data, and other sources relevant to the topic to be discussed. The literature study in this study focuses on the lack of interest in adolescents in learning the Qur'an caused by the sophistication of information technology, especially gadgets. The purpose of this research is of course to explore the causal factors and solutions to the problems that are the focus of this research. The results of research through several sources of literature reveal that the causes of the lack of interest in student learning can come from themselves, teachers and parents so that the solution in solving this problem must be faced by several parties concerned. One of the factors causing the problem is that the teacher has not been able to provide learning with a method that is suitable for students' abilities so they tend to get bored. The solution to this problem is that teachers should study more deeply about several methods that can be applied to students.","author":[{"dropping-particle":"","family":"Munawaroh","given":"Ainin","non-dropping-particle":"","parse-names":false,"suffix":""},{"dropping-particle":"","family":"Munawir","given":"Munawir","non-dropping-particle":"","parse-names":false,"suffix":""},{"dropping-particle":"","family":"Pavytha","given":"Valda Isabella","non-dropping-particle":"","parse-names":false,"suffix":""}],"container-title":"Al-Mau'izhoh","id":"ITEM-1","issue":"2","issued":{"date-parts":[["2023"]]},"page":"460-475","title":"Kurangnya Minat Remaja Dalam Belajar Al-Qur’an Akibat Pengaruh Canggihnya Teknologi Informasi","type":"article-journal","volume":"5"},"uris":["http://www.mendeley.com/documents/?uuid=8ebacc0a-fbce-4e04-a125-0f1cd0bbe1cf"]}],"mendeley":{"formattedCitation":"(Munawaroh et al., 2023)","manualFormatting":"Munawaroh et al. (2023)","plainTextFormattedCitation":"(Munawaroh et al., 2023)","previouslyFormattedCitation":"(Munawaroh et al., 2023)"},"properties":{"noteIndex":0},"schema":"https://github.com/citation-style-language/schema/raw/master/csl-citation.json"}</w:instrText>
      </w:r>
      <w:r>
        <w:rPr>
          <w:rStyle w:val="FootnoteReference"/>
          <w:rFonts w:asciiTheme="minorHAnsi" w:hAnsiTheme="minorHAnsi" w:cstheme="minorHAnsi"/>
          <w:sz w:val="22"/>
          <w:szCs w:val="22"/>
        </w:rPr>
        <w:fldChar w:fldCharType="separate"/>
      </w:r>
      <w:r>
        <w:rPr>
          <w:rFonts w:asciiTheme="minorHAnsi" w:hAnsiTheme="minorHAnsi" w:cstheme="minorHAnsi"/>
          <w:noProof/>
          <w:sz w:val="22"/>
          <w:szCs w:val="22"/>
        </w:rPr>
        <w:t>Munawaroh et al. (2023)</w:t>
      </w:r>
      <w:r>
        <w:rPr>
          <w:rStyle w:val="FootnoteReference"/>
          <w:rFonts w:asciiTheme="minorHAnsi" w:hAnsiTheme="minorHAnsi" w:cstheme="minorHAnsi"/>
          <w:sz w:val="22"/>
          <w:szCs w:val="22"/>
        </w:rPr>
        <w:fldChar w:fldCharType="end"/>
      </w:r>
      <w:r>
        <w:rPr>
          <w:rFonts w:asciiTheme="minorHAnsi" w:hAnsiTheme="minorHAnsi" w:cstheme="minorHAnsi"/>
          <w:sz w:val="22"/>
          <w:szCs w:val="22"/>
        </w:rPr>
        <w:t>, and</w:t>
      </w:r>
      <w:r w:rsidRPr="00BB7446">
        <w:rPr>
          <w:rFonts w:asciiTheme="minorHAnsi" w:hAnsiTheme="minorHAnsi" w:cstheme="minorHAnsi"/>
          <w:sz w:val="22"/>
          <w:szCs w:val="22"/>
        </w:rPr>
        <w:t xml:space="preserve"> </w:t>
      </w:r>
      <w:r w:rsidR="00DB5D71">
        <w:rPr>
          <w:rFonts w:asciiTheme="minorHAnsi" w:hAnsiTheme="minorHAnsi" w:cstheme="minorHAnsi"/>
          <w:sz w:val="22"/>
          <w:szCs w:val="22"/>
        </w:rPr>
        <w:fldChar w:fldCharType="begin" w:fldLock="1"/>
      </w:r>
      <w:r w:rsidR="00DB5D71">
        <w:rPr>
          <w:rFonts w:asciiTheme="minorHAnsi" w:hAnsiTheme="minorHAnsi" w:cstheme="minorHAnsi"/>
          <w:sz w:val="22"/>
          <w:szCs w:val="22"/>
        </w:rPr>
        <w:instrText>ADDIN CSL_CITATION {"citationItems":[{"id":"ITEM-1","itemData":{"DOI":"10.58485/jie.v2i1.188","abstract":"Understanding student motivation for learning Islamic education in Indonesian senior high schools is crucial for enhancing educational outcomes and student engagement. The aim of this research is to look at students' intrinsic motivation, students' extrinsic motivation, supporting and inhibiting factors in learning Islamic religious education. This research uses descriptive qualitative methods. The data collection techniques used are observation, interviews, and documentation with data analysis through data reduction, data presentation, and drawing conclusions and verification. The results of this research were obtained: i) the intrinsic motivation of students at Senior High School in learning Islamic religious education was obtained through the appreciation given by the teacher and the students' sense of responsibility. This award is motivation for students to develop and progress further in their learning process, ii) extrinsic motivation for Senior High School students is obtained from the motivation provided by teachers, principals, and all the environment in the school. Adequate infrastructure is one of the motivations for student learning in achieving goals, iii) supporting factors in increasing student learning motivation in learning Islamic religious education, namely students are given Islamic religious learning guidance, in the form of congregational prayers, tahfiz, reading the Quran and delivering learning material. The inhibiting factor in increasing students' learning motivation in learning Islamic religious education is the lack of Islamic religious education lesson hours at school. Apart from the lack of teaching hours for Islamic religious education teachers, students who study religion are less aware of the importance of studying Islam. The results of this research can be used as initial data for future researchers in studying this problem in different contexts and issues.","author":[{"dropping-particle":"","family":"Japeri","given":"Japeri","non-dropping-particle":"","parse-names":false,"suffix":""},{"dropping-particle":"","family":"Rahmi","given":"Elvi","non-dropping-particle":"","parse-names":false,"suffix":""},{"dropping-particle":"","family":"Izmi","given":"Nelly","non-dropping-particle":"","parse-names":false,"suffix":""},{"dropping-particle":"","family":"Irayanti","given":"Irma","non-dropping-particle":"","parse-names":false,"suffix":""},{"dropping-particle":"","family":"Eki Saputri","given":"Teni","non-dropping-particle":"","parse-names":false,"suffix":""}],"container-title":"Ahlussunnah: Journal of Islamic Education","id":"ITEM-1","issue":"1","issued":{"date-parts":[["2023"]]},"page":"26-34","title":"Identifying Student Motivation for Learning Islamic Education in Indonesian Senior High Schools","type":"article-journal","volume":"2"},"uris":["http://www.mendeley.com/documents/?uuid=6bfdb0e6-5e35-4208-8801-575a831a24a4"]}],"mendeley":{"formattedCitation":"(Japeri et al., 2023)","manualFormatting":"Japeri et al. (2023)","plainTextFormattedCitation":"(Japeri et al., 2023)"},"properties":{"noteIndex":0},"schema":"https://github.com/citation-style-language/schema/raw/master/csl-citation.json"}</w:instrText>
      </w:r>
      <w:r w:rsidR="00DB5D71">
        <w:rPr>
          <w:rFonts w:asciiTheme="minorHAnsi" w:hAnsiTheme="minorHAnsi" w:cstheme="minorHAnsi"/>
          <w:sz w:val="22"/>
          <w:szCs w:val="22"/>
        </w:rPr>
        <w:fldChar w:fldCharType="separate"/>
      </w:r>
      <w:r w:rsidR="00DB5D71" w:rsidRPr="00DB5D71">
        <w:rPr>
          <w:rFonts w:asciiTheme="minorHAnsi" w:hAnsiTheme="minorHAnsi" w:cstheme="minorHAnsi"/>
          <w:noProof/>
          <w:sz w:val="22"/>
          <w:szCs w:val="22"/>
        </w:rPr>
        <w:t xml:space="preserve">Japeri et al. </w:t>
      </w:r>
      <w:r w:rsidR="00DB5D71">
        <w:rPr>
          <w:rFonts w:asciiTheme="minorHAnsi" w:hAnsiTheme="minorHAnsi" w:cstheme="minorHAnsi"/>
          <w:noProof/>
          <w:sz w:val="22"/>
          <w:szCs w:val="22"/>
        </w:rPr>
        <w:t>(</w:t>
      </w:r>
      <w:r w:rsidR="00DB5D71" w:rsidRPr="00DB5D71">
        <w:rPr>
          <w:rFonts w:asciiTheme="minorHAnsi" w:hAnsiTheme="minorHAnsi" w:cstheme="minorHAnsi"/>
          <w:noProof/>
          <w:sz w:val="22"/>
          <w:szCs w:val="22"/>
        </w:rPr>
        <w:t>2023)</w:t>
      </w:r>
      <w:r w:rsidR="00DB5D71">
        <w:rPr>
          <w:rFonts w:asciiTheme="minorHAnsi" w:hAnsiTheme="minorHAnsi" w:cstheme="minorHAnsi"/>
          <w:sz w:val="22"/>
          <w:szCs w:val="22"/>
        </w:rPr>
        <w:fldChar w:fldCharType="end"/>
      </w:r>
      <w:r w:rsidR="00DB5D71">
        <w:rPr>
          <w:rFonts w:asciiTheme="minorHAnsi" w:hAnsiTheme="minorHAnsi" w:cstheme="minorHAnsi"/>
          <w:sz w:val="22"/>
          <w:szCs w:val="22"/>
        </w:rPr>
        <w:t xml:space="preserve"> </w:t>
      </w:r>
      <w:r w:rsidRPr="005F5861">
        <w:rPr>
          <w:rFonts w:asciiTheme="minorHAnsi" w:hAnsiTheme="minorHAnsi" w:cstheme="minorHAnsi"/>
          <w:sz w:val="22"/>
          <w:szCs w:val="22"/>
          <w:lang w:val="en-ID"/>
        </w:rPr>
        <w:t>indicate that this issue can indeed reduce students' enthusiasm for learning in religious education.</w:t>
      </w:r>
      <w:r>
        <w:rPr>
          <w:rFonts w:asciiTheme="minorHAnsi" w:hAnsiTheme="minorHAnsi" w:cstheme="minorHAnsi"/>
          <w:sz w:val="22"/>
          <w:szCs w:val="22"/>
          <w:lang w:val="en-ID"/>
        </w:rPr>
        <w:t xml:space="preserve"> </w:t>
      </w:r>
      <w:r w:rsidRPr="005F5861">
        <w:rPr>
          <w:rFonts w:asciiTheme="minorHAnsi" w:hAnsiTheme="minorHAnsi" w:cstheme="minorHAnsi"/>
          <w:sz w:val="22"/>
          <w:szCs w:val="22"/>
          <w:lang w:val="en-ID"/>
        </w:rPr>
        <w:t>Various factors are thought to be the main causes, such as teaching methods that lack variety and interest, limited learning facilities, teachers' inadequate competence in teaching the Qur'an, and minimal support from families and schools</w:t>
      </w:r>
      <w:r>
        <w:rPr>
          <w:rFonts w:asciiTheme="minorHAnsi" w:hAnsiTheme="minorHAnsi" w:cstheme="minorHAnsi"/>
          <w:sz w:val="22"/>
          <w:szCs w:val="22"/>
          <w:lang w:val="en-ID"/>
        </w:rPr>
        <w:t xml:space="preserve"> </w:t>
      </w:r>
      <w:r>
        <w:rPr>
          <w:rStyle w:val="FootnoteReference"/>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{"citationItems":[{"id":"ITEM-1","itemData":{"DOI":"https://ejurnals.com/ojs/index.php/jdpn/article/view/1397/1637","ISBN":"9788578110796","ISSN":"1098-6596","PMID":"25246403","abstract":"Predicting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approach.","author":[{"dropping-particle":"","family":"Febrian","given":"Lena Mutiah","non-dropping-particle":"","parse-names":false,"suffix":""},{"dropping-particle":"","family":"Florentina","given":"Tantri","non-dropping-particle":"","parse-names":false,"suffix":""},{"dropping-particle":"","family":"Qolbi","given":"Alfarizi Duta","non-dropping-particle":"","parse-names":false,"suffix":""},{"dropping-particle":"","family":"Efendi","given":"Sutrian","non-dropping-particle":"","parse-names":false,"suffix":""}],"container-title":"Fakultas KEguruan dan Imu Pendidikan Universitas Kristen Indonesia","id":"ITEM-1","issue":"1","issued":{"date-parts":[["2025"]]},"page":"648-661","title":"Peningkatan Kemampuan Membaca Al-Qur'an Melalui Pengajaran Mengaji pada Siswa SMPN 4 Kota Bengkulu","type":"article-journal","volume":"6"},"uris":["http://www.mendeley.com/documents/?uuid=de053836-e6cc-4949-bb82-81f78ce3fc50"]}],"mendeley":{"formattedCitation":"(Febrian et al., 2025)","manualFormatting":"(Febrian et al., 2025;","plainTextFormattedCitation":"(Febrian et al., 2025)","previouslyFormattedCitation":"(Febrian et al., 2025)"},"properties":{"noteIndex":0},"schema":"https://github.com/citation-style-language/schema/raw/master/csl-citation.json"}</w:instrText>
      </w:r>
      <w:r>
        <w:rPr>
          <w:rStyle w:val="FootnoteReference"/>
          <w:rFonts w:asciiTheme="minorHAnsi" w:hAnsiTheme="minorHAnsi" w:cstheme="minorHAnsi"/>
          <w:sz w:val="22"/>
          <w:szCs w:val="22"/>
        </w:rPr>
        <w:fldChar w:fldCharType="separate"/>
      </w:r>
      <w:r>
        <w:rPr>
          <w:rFonts w:asciiTheme="minorHAnsi" w:hAnsiTheme="minorHAnsi" w:cstheme="minorHAnsi"/>
          <w:noProof/>
          <w:sz w:val="22"/>
          <w:szCs w:val="22"/>
        </w:rPr>
        <w:t>(Febrian et al., 2025;</w:t>
      </w:r>
      <w:r>
        <w:rPr>
          <w:rStyle w:val="FootnoteReference"/>
          <w:rFonts w:asciiTheme="minorHAnsi" w:hAnsiTheme="minorHAnsi" w:cstheme="minorHAnsi"/>
          <w:sz w:val="22"/>
          <w:szCs w:val="22"/>
        </w:rPr>
        <w:fldChar w:fldCharType="end"/>
      </w:r>
      <w:r w:rsidRPr="00BB7446">
        <w:rPr>
          <w:rFonts w:asciiTheme="minorHAnsi" w:hAnsiTheme="minorHAnsi" w:cstheme="minorHAnsi"/>
          <w:sz w:val="22"/>
          <w:szCs w:val="22"/>
        </w:rPr>
        <w:t xml:space="preserve"> </w:t>
      </w:r>
      <w:r>
        <w:rPr>
          <w:rStyle w:val="FootnoteReference"/>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{"citationItems":[{"id":"ITEM-1","itemData":{"DOI":"10.51169/ideguru.v9i2.882","ISSN":"2527-5712","abstract":"Penelitian ini dilaksanakan di SMP Islam Terpadu Permata Cendekia, Gunung Malela, Kabupaten Simalungun. Tujuan dari penelitian ini adalah untuk mengungkap pengaruh dari program literasi al-Qur'an, dukungan keluarga, dan pengaruh keduanya secara bersama-sama terhadap kemampuan membaca al-Qur'an siswa. Metode penelitian yang digunakan adalah kuantitatif dengan menggunakan pendekatan ex post facto, di mana seluruh siswa kelas VIII yang berjumlah 39 siswa diambil sebagai sampel penelitian. Instrumen yang digunakan meliputi angket dan tes, sedangkan teknik analisis data yang diterapkan menggunakan metode korelasi dan regresi. Dari hasil penelitian, ditemukan beberapa temuan penting. Pertama, terdapat pengaruh dari program literasi al-Qur'an terhadap kemampuan membaca al-Qur'an, ditunjukkan dengan koefisien korelasi sebesar 0,459 dan koefisien determinasi sebesar 0,211. Persamaan regresi yang ditemukan adalah ŷ = 47,674 + 1,321X1. Kedua, terlihat adanya pengaruh dari dukungan keluarga terhadap kemampuan membaca al-Qur'an, dengan koefisien sebesar 0,618 dan koefisien determinasi sebesar 0,382. Persamaan regresi untuk pengaruh ini adalah ŷ = 21,222 + 0,637X2. Ketiga, ditemukan bahwa terdapat pengaruh yang bersama-sama antara literasi al-Qur'an dan dukungan keluarga terhadap kemampuan membaca al-Qur'an, yang terlihat dari koefisien korelasi sebesar 0,635 dan koefisien determinasi sebesar 0,403. Persamaan regresi untuk pengaruh bersama ini adalah ŷ = 21,093 + 0,491X1 + 0,540X2.","author":[{"dropping-particle":"","family":"Putra","given":"Ramadan Syah","non-dropping-particle":"","parse-names":false,"suffix":""},{"dropping-particle":"","family":"Sinaga","given":"Ali Imran","non-dropping-particle":"","parse-names":false,"suffix":""},{"dropping-particle":"","family":"Nasution","given":"Sahkholid","non-dropping-particle":"","parse-names":false,"suffix":""}],"container-title":"Ideguru: Jurnal Karya Ilmiah Guru","id":"ITEM-1","issue":"2","issued":{"date-parts":[["2024"]]},"page":"672-677","title":"Pengaruh Program Literasi Al-Qur'an dan Dukungan Keluarga terhadap Kemampuan Membaca Al- Qur'an Siswa SMP IT Permata Cendekia Kabupaten Simalungun","type":"article-journal","volume":"9"},"uris":["http://www.mendeley.com/documents/?uuid=77fb8c28-373d-45db-af3f-10a6cc191aae"]}],"mendeley":{"formattedCitation":"(Putra et al., 2024)","manualFormatting":"Putra et al., 2024;","plainTextFormattedCitation":"(Putra et al., 2024)","previouslyFormattedCitation":"(Putra et al., 2024)"},"properties":{"noteIndex":0},"schema":"https://github.com/citation-style-language/schema/raw/master/csl-citation.json"}</w:instrText>
      </w:r>
      <w:r>
        <w:rPr>
          <w:rStyle w:val="FootnoteReference"/>
          <w:rFonts w:asciiTheme="minorHAnsi" w:hAnsiTheme="minorHAnsi" w:cstheme="minorHAnsi"/>
          <w:sz w:val="22"/>
          <w:szCs w:val="22"/>
        </w:rPr>
        <w:fldChar w:fldCharType="separate"/>
      </w:r>
      <w:r>
        <w:rPr>
          <w:rFonts w:asciiTheme="minorHAnsi" w:hAnsiTheme="minorHAnsi" w:cstheme="minorHAnsi"/>
          <w:noProof/>
          <w:sz w:val="22"/>
          <w:szCs w:val="22"/>
        </w:rPr>
        <w:t>Putra et al., 2024;</w:t>
      </w:r>
      <w:r>
        <w:rPr>
          <w:rStyle w:val="FootnoteReference"/>
          <w:rFonts w:asciiTheme="minorHAnsi" w:hAnsiTheme="minorHAnsi" w:cstheme="minorHAnsi"/>
          <w:sz w:val="22"/>
          <w:szCs w:val="22"/>
        </w:rPr>
        <w:fldChar w:fldCharType="end"/>
      </w:r>
      <w:r w:rsidRPr="00BB7446">
        <w:rPr>
          <w:rFonts w:asciiTheme="minorHAnsi" w:hAnsiTheme="minorHAnsi" w:cstheme="minorHAnsi"/>
          <w:sz w:val="22"/>
          <w:szCs w:val="22"/>
        </w:rPr>
        <w:t xml:space="preserve"> </w:t>
      </w:r>
      <w:r>
        <w:rPr>
          <w:rStyle w:val="FootnoteReference"/>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author":[{"dropping-particle":"","family":"Rahma","given":"Elfi","non-dropping-particle":"","parse-names":false,"suffix":""},{"dropping-particle":"","family":"Hertati","given":"Hertati","non-dropping-particle":"","parse-names":false,"suffix":""},{"dropping-particle":"","family":"A","given":"Mashumi.","non-dropping-particle":"","parse-names":false,"suffix":""}],"container-title":"Review Pendidikan dan Pengajaran","id":"ITEM-1","issue":"1","issued":{"date-parts":[["2025"]]},"page":"3400-3405","title":"Tantangan Dan Solusi Meningkatkan Kemampuan Membaca Al-Qur'an Siswa Di SMPN 9 Tualang","type":"article-journal","volume":"8"},"uris":["http://www.mendeley.com/documents/?uuid=5f8f00c5-301e-4e38-abe6-5eaebe2402ce"]}],"mendeley":{"formattedCitation":"(Rahma et al., 2025)","manualFormatting":"Rahma et al., 2025;","plainTextFormattedCitation":"(Rahma et al., 2025)","previouslyFormattedCitation":"(Rahma et al., 2025)"},"properties":{"noteIndex":0},"schema":"https://github.com/citation-style-language/schema/raw/master/csl-citation.json"}</w:instrText>
      </w:r>
      <w:r>
        <w:rPr>
          <w:rStyle w:val="FootnoteReference"/>
          <w:rFonts w:asciiTheme="minorHAnsi" w:hAnsiTheme="minorHAnsi" w:cstheme="minorHAnsi"/>
          <w:sz w:val="22"/>
          <w:szCs w:val="22"/>
        </w:rPr>
        <w:fldChar w:fldCharType="separate"/>
      </w:r>
      <w:r>
        <w:rPr>
          <w:rFonts w:asciiTheme="minorHAnsi" w:hAnsiTheme="minorHAnsi" w:cstheme="minorHAnsi"/>
          <w:noProof/>
          <w:sz w:val="22"/>
          <w:szCs w:val="22"/>
        </w:rPr>
        <w:t>Rahma et al., 2025;</w:t>
      </w:r>
      <w:r>
        <w:rPr>
          <w:rStyle w:val="FootnoteReference"/>
          <w:rFonts w:asciiTheme="minorHAnsi" w:hAnsiTheme="minorHAnsi" w:cstheme="minorHAnsi"/>
          <w:sz w:val="22"/>
          <w:szCs w:val="22"/>
        </w:rPr>
        <w:fldChar w:fldCharType="end"/>
      </w:r>
      <w:r w:rsidRPr="00BB7446">
        <w:rPr>
          <w:rFonts w:asciiTheme="minorHAnsi" w:hAnsiTheme="minorHAnsi" w:cstheme="minorHAnsi"/>
          <w:sz w:val="22"/>
          <w:szCs w:val="22"/>
        </w:rPr>
        <w:t xml:space="preserve"> </w:t>
      </w:r>
      <w:r>
        <w:rPr>
          <w:rStyle w:val="FootnoteReference"/>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{"citationItems":[{"id":"ITEM-1","itemData":{"DOI":"10.61136/pmm29y60","ISSN":"25992929","abstract":"This study aims to describe the role of parents in motivating children to learn the Qur'an in TPA Sidomulyo and the supporting and inhibiting factors. The research method uses descriptive qualitative methods with data collection techniques using observation and interviews. The subjects selected were parents who had children reading the Koran at the TPA using purposive sampling. Based on the selection of these subjects, 4 parents would be the main sources, and 3 children and 1 ustadz as informants. The results and discussion will describe the role of these parents. This research was conducted in Sidomulyo, Tumbang Tahai Village, Palangka Raya City. This study's results found parents' role in motivating their children to learn the Qur'an. Several factors, namely supporting factors, influence the role of parents in motivating learning the Qur'an: 1) the will of the child, 2) the child's motivation, and 3) the environment, as well as inhibiting factors, 1) laziness, and 2) the busyness of parents.","author":[{"dropping-particle":"","family":"Rizki","given":"Satria Nur","non-dropping-particle":"","parse-names":false,"suffix":""},{"dropping-particle":"","family":"Ajahari","given":"Ajahari","non-dropping-particle":"","parse-names":false,"suffix":""},{"dropping-particle":"","family":"Surawan","given":"Surawan","non-dropping-particle":"","parse-names":false,"suffix":""}],"container-title":"Wahana Islamika: Jurnal Studi Keislaman","id":"ITEM-1","issued":{"date-parts":[["2022"]]},"page":"164-177","title":"Peran Orang Tua Dalam Memotivasi Belajar Al-Qur’an Pada Anak Di Tpa Sidomulyokota Palangka Raya","type":"article-journal"},"uris":["http://www.mendeley.com/documents/?uuid=b04b3166-2fd8-4400-a46f-8cfc39c34bf5"]}],"mendeley":{"formattedCitation":"(Rizki et al., 2022)","manualFormatting":"Rizki et al., 2022;","plainTextFormattedCitation":"(Rizki et al., 2022)","previouslyFormattedCitation":"(Rizki et al., 2022)"},"properties":{"noteIndex":0},"schema":"https://github.com/citation-style-language/schema/raw/master/csl-citation.json"}</w:instrText>
      </w:r>
      <w:r>
        <w:rPr>
          <w:rStyle w:val="FootnoteReference"/>
          <w:rFonts w:asciiTheme="minorHAnsi" w:hAnsiTheme="minorHAnsi" w:cstheme="minorHAnsi"/>
          <w:sz w:val="22"/>
          <w:szCs w:val="22"/>
        </w:rPr>
        <w:fldChar w:fldCharType="separate"/>
      </w:r>
      <w:r>
        <w:rPr>
          <w:rFonts w:asciiTheme="minorHAnsi" w:hAnsiTheme="minorHAnsi" w:cstheme="minorHAnsi"/>
          <w:noProof/>
          <w:sz w:val="22"/>
          <w:szCs w:val="22"/>
        </w:rPr>
        <w:t>Rizki et al., 2022;</w:t>
      </w:r>
      <w:r>
        <w:rPr>
          <w:rStyle w:val="FootnoteReference"/>
          <w:rFonts w:asciiTheme="minorHAnsi" w:hAnsiTheme="minorHAnsi" w:cstheme="minorHAnsi"/>
          <w:sz w:val="22"/>
          <w:szCs w:val="22"/>
        </w:rPr>
        <w:fldChar w:fldCharType="end"/>
      </w:r>
      <w:r w:rsidRPr="00BB7446">
        <w:rPr>
          <w:rFonts w:asciiTheme="minorHAnsi" w:hAnsiTheme="minorHAnsi" w:cstheme="minorHAnsi"/>
          <w:sz w:val="22"/>
          <w:szCs w:val="22"/>
        </w:rPr>
        <w:t xml:space="preserve"> </w:t>
      </w:r>
      <w:r>
        <w:rPr>
          <w:rStyle w:val="FootnoteReference"/>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{"citationItems":[{"id":"ITEM-1","itemData":{"author":[{"dropping-particle":"","family":"Sastraatmadja","given":"Achmad Harristhana Mauldfi","non-dropping-particle":"","parse-names":false,"suffix":""},{"dropping-particle":"","family":"Emalis Saputra","given":"Adzra","non-dropping-particle":"","parse-names":false,"suffix":""},{"dropping-particle":"","family":"Kulsum","given":"Siti","non-dropping-particle":"","parse-names":false,"suffix":""},{"dropping-particle":"","family":"Aini Farida","given":"Nur","non-dropping-particle":"","parse-names":false,"suffix":""},{"dropping-particle":"","family":"Makbul","given":"M","non-dropping-particle":"","parse-names":false,"suffix":""}],"container-title":"Mathematic Education JournalMathEdu","id":"ITEM-1","issue":"2","issued":{"date-parts":[["2024"]]},"page":"67-75","title":"Meningkatkan Kemampuan Membaca Al-Qur'an Siswa Kelas Vii Smpit Abdan Syakuro Dengan Metode Al Muyassar","type":"article-journal","volume":"7"},"uris":["http://www.mendeley.com/documents/?uuid=b6967991-ffae-43fd-bdee-9b8d5f9ba413"]}],"mendeley":{"formattedCitation":"(Sastraatmadja et al., 2024)","manualFormatting":"Sastraatmadja et al., 2024)","plainTextFormattedCitation":"(Sastraatmadja et al., 2024)","previouslyFormattedCitation":"(Sastraatmadja et al., 2024)"},"properties":{"noteIndex":0},"schema":"https://github.com/citation-style-language/schema/raw/master/csl-citation.json"}</w:instrText>
      </w:r>
      <w:r>
        <w:rPr>
          <w:rStyle w:val="FootnoteReference"/>
          <w:rFonts w:asciiTheme="minorHAnsi" w:hAnsiTheme="minorHAnsi" w:cstheme="minorHAnsi"/>
          <w:sz w:val="22"/>
          <w:szCs w:val="22"/>
        </w:rPr>
        <w:fldChar w:fldCharType="separate"/>
      </w:r>
      <w:r>
        <w:rPr>
          <w:rFonts w:asciiTheme="minorHAnsi" w:hAnsiTheme="minorHAnsi" w:cstheme="minorHAnsi"/>
          <w:noProof/>
          <w:sz w:val="22"/>
          <w:szCs w:val="22"/>
        </w:rPr>
        <w:t>Sastraatmadja et al., 2024)</w:t>
      </w:r>
      <w:r>
        <w:rPr>
          <w:rStyle w:val="FootnoteReference"/>
          <w:rFonts w:asciiTheme="minorHAnsi" w:hAnsiTheme="minorHAnsi" w:cstheme="minorHAnsi"/>
          <w:sz w:val="22"/>
          <w:szCs w:val="22"/>
        </w:rPr>
        <w:fldChar w:fldCharType="end"/>
      </w:r>
      <w:r w:rsidRPr="00BB7446">
        <w:rPr>
          <w:rFonts w:asciiTheme="minorHAnsi" w:hAnsiTheme="minorHAnsi" w:cstheme="minorHAnsi"/>
          <w:sz w:val="22"/>
          <w:szCs w:val="22"/>
        </w:rPr>
        <w:t xml:space="preserve">. This situation requires in-depth analysis so that appropriate and effective solutions can be found </w:t>
      </w:r>
      <w:r>
        <w:rPr>
          <w:rStyle w:val="FootnoteReference"/>
          <w:rFonts w:asciiTheme="minorHAnsi" w:hAnsiTheme="minorHAnsi" w:cstheme="minorHAnsi"/>
          <w:sz w:val="22"/>
          <w:szCs w:val="22"/>
        </w:rPr>
        <w:fldChar w:fldCharType="begin" w:fldLock="1"/>
      </w:r>
      <w:r>
        <w:rPr>
          <w:rFonts w:asciiTheme="minorHAnsi" w:hAnsiTheme="minorHAnsi" w:cstheme="minorHAnsi"/>
          <w:sz w:val="22"/>
          <w:szCs w:val="22"/>
        </w:rPr>
        <w:instrText>ADDIN CSL_CITATION {"citationItems":[{"id":"ITEM-1","itemData":{"DOI":"10.56338/iqra.v20i1.6868","author":[{"dropping-particle":"","family":"Ansyah","given":"Ardi","non-dropping-particle":"","parse-names":false,"suffix":""},{"dropping-particle":"","family":"Amin","given":"Sitti Jamilah","non-dropping-particle":"","parse-names":false,"suffix":""},{"dropping-particle":"","family":"Marhani","given":"Marhani","non-dropping-particle":"","parse-names":false,"suffix":""},{"dropping-particle":"","family":"Nurhayati","given":"Nurhayati","non-dropping-particle":"","parse-names":false,"suffix":""},{"dropping-particle":"","family":"Herdah","given":"Herdah","non-dropping-particle":"","parse-names":false,"suffix":""}],"container-title":"Iqra: Jurnal Ilmu Kependidikan dan Keislaman","id":"ITEM-1","issue":"01","issued":{"date-parts":[["2025"]]},"page":"127-133","title":"Analisis Kemampuan Baca Al Qur ’ an dan Faktor yang Mempengaruhinya di Madrasah Aliyah DDI Attaufiq Padaelo Kecamatan Tanete Rilau Kabupaten Barru","type":"article-journal","volume":"20"},"uris":["http://www.mendeley.com/documents/?uuid=76643ba4-1d96-4ece-ac8e-4930ae1bbbe0"]}],"mendeley":{"formattedCitation":"(Ansyah et al., 2025)","plainTextFormattedCitation":"(Ansyah et al., 2025)","previouslyFormattedCitation":"(Ansyah et al., 2025)"},"properties":{"noteIndex":0},"schema":"https://github.com/citation-style-language/schema/raw/master/csl-citation.json"}</w:instrText>
      </w:r>
      <w:r>
        <w:rPr>
          <w:rStyle w:val="FootnoteReference"/>
          <w:rFonts w:asciiTheme="minorHAnsi" w:hAnsiTheme="minorHAnsi" w:cstheme="minorHAnsi"/>
          <w:sz w:val="22"/>
          <w:szCs w:val="22"/>
        </w:rPr>
        <w:fldChar w:fldCharType="separate"/>
      </w:r>
      <w:r w:rsidRPr="002D3609">
        <w:rPr>
          <w:rFonts w:asciiTheme="minorHAnsi" w:hAnsiTheme="minorHAnsi" w:cstheme="minorHAnsi"/>
          <w:bCs/>
          <w:noProof/>
          <w:sz w:val="22"/>
          <w:szCs w:val="22"/>
        </w:rPr>
        <w:t>(Ansyah et al., 2025)</w:t>
      </w:r>
      <w:r>
        <w:rPr>
          <w:rStyle w:val="FootnoteReference"/>
          <w:rFonts w:asciiTheme="minorHAnsi" w:hAnsiTheme="minorHAnsi" w:cstheme="minorHAnsi"/>
          <w:sz w:val="22"/>
          <w:szCs w:val="22"/>
        </w:rPr>
        <w:fldChar w:fldCharType="end"/>
      </w:r>
      <w:r w:rsidRPr="00BB7446">
        <w:rPr>
          <w:rFonts w:asciiTheme="minorHAnsi" w:hAnsiTheme="minorHAnsi" w:cstheme="minorHAnsi"/>
          <w:sz w:val="22"/>
          <w:szCs w:val="22"/>
        </w:rPr>
        <w:t>.</w:t>
      </w:r>
    </w:p>
    <w:p w14:paraId="3F5932E8" w14:textId="103FE254" w:rsidR="003B560C" w:rsidRPr="00C515C0" w:rsidRDefault="003B560C" w:rsidP="00C27B0D">
      <w:pPr>
        <w:ind w:firstLine="426"/>
        <w:jc w:val="both"/>
        <w:rPr>
          <w:rFonts w:asciiTheme="minorHAnsi" w:hAnsiTheme="minorHAnsi" w:cstheme="minorHAnsi"/>
          <w:sz w:val="22"/>
          <w:szCs w:val="22"/>
          <w:lang w:val="en-ID"/>
        </w:rPr>
      </w:pPr>
      <w:r w:rsidRPr="00C515C0">
        <w:rPr>
          <w:rFonts w:asciiTheme="minorHAnsi" w:hAnsiTheme="minorHAnsi" w:cstheme="minorHAnsi"/>
          <w:sz w:val="22"/>
          <w:szCs w:val="22"/>
          <w:lang w:val="en-ID"/>
        </w:rPr>
        <w:t xml:space="preserve">Research on the factors influencing students' ability to read the Qur'an has been extensively conducted, both at the elementary and secondary school levels. Studies conducted </w:t>
      </w:r>
      <w:r w:rsidRPr="00BB7446">
        <w:rPr>
          <w:rFonts w:asciiTheme="minorHAnsi" w:hAnsiTheme="minorHAnsi" w:cstheme="minorHAnsi"/>
          <w:sz w:val="22"/>
          <w:szCs w:val="22"/>
        </w:rPr>
        <w:t xml:space="preserve">by </w:t>
      </w:r>
      <w:r w:rsidR="00A10ACC">
        <w:rPr>
          <w:rFonts w:asciiTheme="minorHAnsi" w:hAnsiTheme="minorHAnsi" w:cstheme="minorHAnsi"/>
          <w:sz w:val="22"/>
          <w:szCs w:val="22"/>
        </w:rPr>
        <w:fldChar w:fldCharType="begin" w:fldLock="1"/>
      </w:r>
      <w:r w:rsidR="007354F1">
        <w:rPr>
          <w:rFonts w:asciiTheme="minorHAnsi" w:hAnsiTheme="minorHAnsi" w:cstheme="minorHAnsi"/>
          <w:sz w:val="22"/>
          <w:szCs w:val="22"/>
        </w:rPr>
        <w:instrText>ADDIN CSL_CITATION {"citationItems":[{"id":"ITEM-1","itemData":{"DOI":"https://doi.org/10.26555/almisbah.v9i2.3908","abstract":"… the Qur'an, including drill method/spelling practice, peer tutoring method, … Pengertian lain metode drill atau latihan adalah metode … Metode drill juga bisa bermakna suatu cara penyajian …","author":[{"dropping-particle":"","family":"Alif","given":"Muh","non-dropping-particle":"","parse-names":false,"suffix":""},{"dropping-particle":"","family":"Nuryana","given":"Zalik","non-dropping-particle":"","parse-names":false,"suffix":""},{"dropping-particle":"","family":"Yuliana","given":"Anaas Tri Ridlo Dina","non-dropping-particle":"","parse-names":false,"suffix":""},{"dropping-particle":"","family":"Rahman","given":"Arif","non-dropping-particle":"","parse-names":false,"suffix":""}],"container-title":"Al-MISBAH (Jurnal Islamic Studies)","id":"ITEM-1","issue":"2","issued":{"date-parts":[["2021"]]},"page":"140-151","title":"Innovative Learning Strategies and Methods to Overcome Difficulties in Reading the Qur'an","type":"article-journal","volume":"9"},"uris":["http://www.mendeley.com/documents/?uuid=bf9876fd-f66f-48a3-8b50-1c2a5e380572"]}],"mendeley":{"formattedCitation":"(Alif et al., 2021)","manualFormatting":"Alif et al. (2021)","plainTextFormattedCitation":"(Alif et al., 2021)","previouslyFormattedCitation":"(Alif et al., 2021)"},"properties":{"noteIndex":0},"schema":"https://github.com/citation-style-language/schema/raw/master/csl-citation.json"}</w:instrText>
      </w:r>
      <w:r w:rsidR="00A10ACC">
        <w:rPr>
          <w:rFonts w:asciiTheme="minorHAnsi" w:hAnsiTheme="minorHAnsi" w:cstheme="minorHAnsi"/>
          <w:sz w:val="22"/>
          <w:szCs w:val="22"/>
        </w:rPr>
        <w:fldChar w:fldCharType="separate"/>
      </w:r>
      <w:r w:rsidR="00A10ACC" w:rsidRPr="00A10ACC">
        <w:rPr>
          <w:rFonts w:asciiTheme="minorHAnsi" w:hAnsiTheme="minorHAnsi" w:cstheme="minorHAnsi"/>
          <w:noProof/>
          <w:sz w:val="22"/>
          <w:szCs w:val="22"/>
        </w:rPr>
        <w:t xml:space="preserve">Alif et al. </w:t>
      </w:r>
      <w:r w:rsidR="00A10ACC">
        <w:rPr>
          <w:rFonts w:asciiTheme="minorHAnsi" w:hAnsiTheme="minorHAnsi" w:cstheme="minorHAnsi"/>
          <w:noProof/>
          <w:sz w:val="22"/>
          <w:szCs w:val="22"/>
        </w:rPr>
        <w:t>(</w:t>
      </w:r>
      <w:r w:rsidR="00A10ACC" w:rsidRPr="00A10ACC">
        <w:rPr>
          <w:rFonts w:asciiTheme="minorHAnsi" w:hAnsiTheme="minorHAnsi" w:cstheme="minorHAnsi"/>
          <w:noProof/>
          <w:sz w:val="22"/>
          <w:szCs w:val="22"/>
        </w:rPr>
        <w:t>2021)</w:t>
      </w:r>
      <w:r w:rsidR="00A10ACC">
        <w:rPr>
          <w:rFonts w:asciiTheme="minorHAnsi" w:hAnsiTheme="minorHAnsi" w:cstheme="minorHAnsi"/>
          <w:sz w:val="22"/>
          <w:szCs w:val="22"/>
        </w:rPr>
        <w:fldChar w:fldCharType="end"/>
      </w:r>
      <w:r w:rsidR="00A10ACC">
        <w:rPr>
          <w:rFonts w:asciiTheme="minorHAnsi" w:hAnsiTheme="minorHAnsi" w:cstheme="minorHAnsi"/>
          <w:sz w:val="22"/>
          <w:szCs w:val="22"/>
        </w:rPr>
        <w:t xml:space="preserve"> </w:t>
      </w:r>
      <w:r w:rsidRPr="00BB7446">
        <w:rPr>
          <w:rFonts w:asciiTheme="minorHAnsi" w:hAnsiTheme="minorHAnsi" w:cstheme="minorHAnsi"/>
          <w:sz w:val="22"/>
          <w:szCs w:val="22"/>
        </w:rPr>
        <w:t xml:space="preserve">and </w:t>
      </w:r>
      <w:r w:rsidR="007354F1">
        <w:rPr>
          <w:rFonts w:asciiTheme="minorHAnsi" w:hAnsiTheme="minorHAnsi" w:cstheme="minorHAnsi"/>
          <w:sz w:val="22"/>
          <w:szCs w:val="22"/>
        </w:rPr>
        <w:fldChar w:fldCharType="begin" w:fldLock="1"/>
      </w:r>
      <w:r w:rsidR="00DB5D71">
        <w:rPr>
          <w:rFonts w:asciiTheme="minorHAnsi" w:hAnsiTheme="minorHAnsi" w:cstheme="minorHAnsi"/>
          <w:sz w:val="22"/>
          <w:szCs w:val="22"/>
        </w:rPr>
        <w:instrText>ADDIN CSL_CITATION {"citationItems":[{"id":"ITEM-1","itemData":{"DOI":"10.14421/jpai.v21i2.8238","ISSN":"25022075","abstract":"Purpose – Competent teachers have the ability to confront and design high-quality instruction that plays a pivotal role in nurturing the multifaceted development and equilibrium of students. Nevertheless, some research has revealed that there is a need for enhancement in teachers' competencies with regards to their knowledge, skills, and attitudes. In this context, a comprehensive review of the literature was undertaken to examine the many themes associated with the competence of teachers in instructing the Special Class on Quranic Recitation and Memorization Skills (KKQ) inside educational institutions. Methods – The present study employs a qualitative approach, utilizing the design of document content analysis to examine journal articles. Four widely utilized databases, notably Google Scholar, ResearchGate, Mendeley, and Malaysian Citation Index, are employed to conduct searches for scholarly publications released within the period of 2019 to 2023. In this study, a comprehensive analysis was conducted on a set of 30 publications that satisfied the established criteria. Findings – The analysis revealed the identification of six distinct themes pertaining to teacher competencies. These topics encompassed pedagogical knowledge, content knowledge, curriculum knowledge, knowledge of the background of students, and teacher skills. Research implications – The findings of this study suggest that stakeholders, at both the Ministry of Education Malaysia level and the implementation level of the program in schools, should prioritize the Special Class on Quranic Recitation and Memorization Skills. This attention is necessary to enhance and improve the competency of teachers, ultimately leading to the successful achievement of the goal of producing Quranic-skilled and passionate students. Originality/value – Further research is required to assess the proficiency of teachers in employing e-learning and multimedia tools for KKQ teaching.","author":[{"dropping-particle":"","family":"Mubi","given":"Zulkifli Abd","non-dropping-particle":"","parse-names":false,"suffix":""},{"dropping-particle":"","family":"Hussin","given":"Haziyah","non-dropping-particle":"","parse-names":false,"suffix":""},{"dropping-particle":"","family":"Mohamad","given":"Sabri","non-dropping-particle":"","parse-names":false,"suffix":""}],"container-title":"Jurnal Pendidikan Agama Islam","id":"ITEM-1","issue":"2","issued":{"date-parts":[["2024"]]},"page":"346-363","title":"A Literature Highlight on Teachers Competency Level in Teaching Special Class on Quranic Recitation and Memorization Skills (KKQ)","type":"article-journal","volume":"17"},"uris":["http://www.mendeley.com/documents/?uuid=3e4c4de8-46ea-4676-a16e-b3ba8f8c7ac1"]}],"mendeley":{"formattedCitation":"(Mubi et al., 2024)","manualFormatting":"Mubi et al., (2024)","plainTextFormattedCitation":"(Mubi et al., 2024)","previouslyFormattedCitation":"(Mubi et al., 2024)"},"properties":{"noteIndex":0},"schema":"https://github.com/citation-style-language/schema/raw/master/csl-citation.json"}</w:instrText>
      </w:r>
      <w:r w:rsidR="007354F1">
        <w:rPr>
          <w:rFonts w:asciiTheme="minorHAnsi" w:hAnsiTheme="minorHAnsi" w:cstheme="minorHAnsi"/>
          <w:sz w:val="22"/>
          <w:szCs w:val="22"/>
        </w:rPr>
        <w:fldChar w:fldCharType="separate"/>
      </w:r>
      <w:r w:rsidR="007354F1" w:rsidRPr="007354F1">
        <w:rPr>
          <w:rFonts w:asciiTheme="minorHAnsi" w:hAnsiTheme="minorHAnsi" w:cstheme="minorHAnsi"/>
          <w:noProof/>
          <w:sz w:val="22"/>
          <w:szCs w:val="22"/>
        </w:rPr>
        <w:t xml:space="preserve">Mubi et al., </w:t>
      </w:r>
      <w:r w:rsidR="007354F1">
        <w:rPr>
          <w:rFonts w:asciiTheme="minorHAnsi" w:hAnsiTheme="minorHAnsi" w:cstheme="minorHAnsi"/>
          <w:noProof/>
          <w:sz w:val="22"/>
          <w:szCs w:val="22"/>
        </w:rPr>
        <w:t>(</w:t>
      </w:r>
      <w:r w:rsidR="007354F1" w:rsidRPr="007354F1">
        <w:rPr>
          <w:rFonts w:asciiTheme="minorHAnsi" w:hAnsiTheme="minorHAnsi" w:cstheme="minorHAnsi"/>
          <w:noProof/>
          <w:sz w:val="22"/>
          <w:szCs w:val="22"/>
        </w:rPr>
        <w:t>2024)</w:t>
      </w:r>
      <w:r w:rsidR="007354F1">
        <w:rPr>
          <w:rFonts w:asciiTheme="minorHAnsi" w:hAnsiTheme="minorHAnsi" w:cstheme="minorHAnsi"/>
          <w:sz w:val="22"/>
          <w:szCs w:val="22"/>
        </w:rPr>
        <w:fldChar w:fldCharType="end"/>
      </w:r>
      <w:r w:rsidR="00A10ACC">
        <w:rPr>
          <w:rFonts w:asciiTheme="minorHAnsi" w:hAnsiTheme="minorHAnsi" w:cstheme="minorHAnsi"/>
          <w:sz w:val="22"/>
          <w:szCs w:val="22"/>
        </w:rPr>
        <w:t xml:space="preserve"> </w:t>
      </w:r>
      <w:r w:rsidRPr="00C515C0">
        <w:rPr>
          <w:rFonts w:asciiTheme="minorHAnsi" w:hAnsiTheme="minorHAnsi" w:cstheme="minorHAnsi"/>
          <w:sz w:val="22"/>
          <w:szCs w:val="22"/>
          <w:lang w:val="en-ID"/>
        </w:rPr>
        <w:t>emphasize the importance of innovative teaching methods, the role of competent teachers, and environmental support as key factors in improving the ability to read the Qur'an. However, there is still a lack of research specifically addressing the causes of low Qur'an reading ability in certain junior high schools, so this study is expected to fill that gap through more in-depth and contextual analysis.</w:t>
      </w:r>
    </w:p>
    <w:p w14:paraId="5C02C4AC" w14:textId="7EFB7837" w:rsidR="003B560C" w:rsidRDefault="003B560C" w:rsidP="00C27B0D">
      <w:pPr>
        <w:ind w:firstLine="426"/>
        <w:jc w:val="both"/>
        <w:rPr>
          <w:rFonts w:asciiTheme="minorHAnsi" w:hAnsiTheme="minorHAnsi" w:cstheme="minorHAnsi"/>
          <w:sz w:val="22"/>
          <w:szCs w:val="22"/>
          <w:lang w:val="en-ID"/>
        </w:rPr>
      </w:pPr>
      <w:r w:rsidRPr="00AD12D1">
        <w:rPr>
          <w:rFonts w:asciiTheme="minorHAnsi" w:hAnsiTheme="minorHAnsi" w:cstheme="minorHAnsi"/>
          <w:sz w:val="22"/>
          <w:szCs w:val="22"/>
          <w:lang w:val="en-ID"/>
        </w:rPr>
        <w:t>This study has significant value both academically and practically. Academically, the findings of this study are expected to contribute to the development of Islamic education, particularly in the field of Quranic reading instruction. Practically, the research findings can serve as a basis for evaluation and improvement for teachers and school administrators in designing more effective teaching strategies, while also providing guidance for education policymakers to enhance the quality of religious education in junior high schools and other schools facing similar challenges.</w:t>
      </w:r>
    </w:p>
    <w:p w14:paraId="713FE4E1" w14:textId="01BE5CD1" w:rsidR="003B560C" w:rsidRPr="00AD12D1" w:rsidRDefault="003B560C" w:rsidP="00C27B0D">
      <w:pPr>
        <w:ind w:firstLine="426"/>
        <w:jc w:val="both"/>
        <w:rPr>
          <w:rFonts w:asciiTheme="minorHAnsi" w:hAnsiTheme="minorHAnsi" w:cstheme="minorHAnsi"/>
          <w:sz w:val="22"/>
          <w:szCs w:val="22"/>
          <w:lang w:val="en-ID"/>
        </w:rPr>
      </w:pPr>
      <w:r w:rsidRPr="00AD12D1">
        <w:rPr>
          <w:rFonts w:asciiTheme="minorHAnsi" w:hAnsiTheme="minorHAnsi" w:cstheme="minorHAnsi"/>
          <w:sz w:val="22"/>
          <w:szCs w:val="22"/>
          <w:lang w:val="en-ID"/>
        </w:rPr>
        <w:t>Thus, this study aims to conduct a comprehensive analysis of junior high school students' ability to read the Qur'an, so that it can provide appropriate recommendations to improve the quality of Qur'anic education in these schools.</w:t>
      </w:r>
    </w:p>
    <w:bookmarkEnd w:id="1"/>
    <w:bookmarkEnd w:id="2"/>
    <w:p w14:paraId="56EC80F1" w14:textId="77777777" w:rsidR="00AD12D1" w:rsidRPr="00AD12D1" w:rsidRDefault="00AD12D1" w:rsidP="00AD12D1">
      <w:pPr>
        <w:jc w:val="both"/>
        <w:rPr>
          <w:rFonts w:asciiTheme="minorHAnsi" w:hAnsiTheme="minorHAnsi" w:cstheme="minorHAnsi"/>
          <w:sz w:val="22"/>
          <w:szCs w:val="22"/>
          <w:lang w:val="en-ID"/>
        </w:rPr>
      </w:pPr>
    </w:p>
    <w:p w14:paraId="093C63CE" w14:textId="77777777" w:rsidR="00EE5178" w:rsidRDefault="00A274B2">
      <w:p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METHODS</w:t>
      </w:r>
    </w:p>
    <w:p w14:paraId="0448FE25" w14:textId="1EBAD8ED" w:rsidR="00EE5178" w:rsidRDefault="00F968F9" w:rsidP="00F968F9">
      <w:pPr>
        <w:jc w:val="both"/>
        <w:rPr>
          <w:rFonts w:ascii="Calibri" w:eastAsia="Calibri" w:hAnsi="Calibri" w:cs="Calibri"/>
          <w:bCs/>
          <w:sz w:val="22"/>
          <w:szCs w:val="22"/>
        </w:rPr>
      </w:pPr>
      <w:r>
        <w:rPr>
          <w:rFonts w:ascii="Calibri" w:eastAsia="Calibri" w:hAnsi="Calibri" w:cs="Calibri"/>
          <w:bCs/>
          <w:sz w:val="22"/>
          <w:szCs w:val="22"/>
        </w:rPr>
        <w:tab/>
      </w:r>
      <w:r w:rsidRPr="0070003F">
        <w:rPr>
          <w:rFonts w:ascii="Calibri" w:eastAsia="Calibri" w:hAnsi="Calibri" w:cs="Calibri"/>
          <w:bCs/>
          <w:sz w:val="22"/>
          <w:szCs w:val="22"/>
        </w:rPr>
        <w:t xml:space="preserve">This study employs a qualitative approach with a descriptive research design to gain an in-depth understanding of the phenomena at </w:t>
      </w:r>
      <w:r w:rsidR="00AD12D1" w:rsidRPr="00AD12D1">
        <w:rPr>
          <w:rFonts w:asciiTheme="minorHAnsi" w:hAnsiTheme="minorHAnsi" w:cstheme="minorHAnsi"/>
          <w:sz w:val="22"/>
          <w:szCs w:val="22"/>
          <w:lang w:val="en-ID"/>
        </w:rPr>
        <w:t>junior high schools</w:t>
      </w:r>
      <w:r w:rsidR="00AD12D1" w:rsidRPr="0070003F">
        <w:rPr>
          <w:rFonts w:ascii="Calibri" w:eastAsia="Calibri" w:hAnsi="Calibri" w:cs="Calibri"/>
          <w:bCs/>
          <w:sz w:val="22"/>
          <w:szCs w:val="22"/>
        </w:rPr>
        <w:t xml:space="preserve"> </w:t>
      </w:r>
      <w:r w:rsidRPr="0070003F">
        <w:rPr>
          <w:rFonts w:ascii="Calibri" w:eastAsia="Calibri" w:hAnsi="Calibri" w:cs="Calibri"/>
          <w:bCs/>
          <w:sz w:val="22"/>
          <w:szCs w:val="22"/>
        </w:rPr>
        <w:t xml:space="preserve">from November 2024 to May 2025. The research population consists of 13 individuals, including 10 seventh-grade students, one Islamic Education teacher, one Vice Principal for Student Affairs, and one School Principal, all selected through purposive sampling based on their key roles in the educational process. Data were collected using structured observation sheets to record students’ use of learning media and classroom behavior, in-depth interviews guided by open-ended questions exploring learning motivation, media use, and academic achievement, as well as documentation such as class schedules, attendance lists, academic records, and photographs of learning activities. The instruments used included observation sheets, interview guidelines, and documentation </w:t>
      </w:r>
      <w:r w:rsidRPr="0070003F">
        <w:rPr>
          <w:rFonts w:ascii="Calibri" w:eastAsia="Calibri" w:hAnsi="Calibri" w:cs="Calibri"/>
          <w:bCs/>
          <w:sz w:val="22"/>
          <w:szCs w:val="22"/>
        </w:rPr>
        <w:lastRenderedPageBreak/>
        <w:t xml:space="preserve">formats. Data analysis was conducted qualitatively following the </w:t>
      </w:r>
      <w:r w:rsidRPr="0070003F">
        <w:rPr>
          <w:rFonts w:asciiTheme="minorHAnsi" w:hAnsiTheme="minorHAnsi" w:cstheme="minorHAnsi"/>
          <w:sz w:val="22"/>
          <w:szCs w:val="22"/>
        </w:rPr>
        <w:fldChar w:fldCharType="begin" w:fldLock="1"/>
      </w:r>
      <w:r w:rsidRPr="0070003F">
        <w:rPr>
          <w:rFonts w:asciiTheme="minorHAnsi" w:hAnsiTheme="minorHAnsi" w:cstheme="minorHAnsi"/>
          <w:sz w:val="22"/>
          <w:szCs w:val="22"/>
        </w:rPr>
        <w:instrText>ADDIN CSL_CITATION {"citationItems":[{"id":"ITEM-1","itemData":{"DOI":"https://vivauniversity.wordpress.com/wp-content/uploads/2013/11/milesandhuberman1994.pdf","ISSN":"16130073","author":[{"dropping-particle":"","family":"Miles","given":"Matthew B","non-dropping-particle":"","parse-names":false,"suffix":""},{"dropping-particle":"","family":"Huberman","given":"A Michael","non-dropping-particle":"","parse-names":false,"suffix":""}],"container-title":"Sage Publication","edition":"Second Edi","id":"ITEM-1","issued":{"date-parts":[["1994"]]},"number-of-pages":"1-337","publisher":"Sage Publications","title":"Qualitative Data Analysis","type":"book"},"uris":["http://www.mendeley.com/documents/?uuid=cc762582-b159-465a-bf18-9d62ab1c3e70"]}],"mendeley":{"formattedCitation":"(Miles &amp; Huberman, 1994)","manualFormatting":"Miles &amp; Huberman (1994)","plainTextFormattedCitation":"(Miles &amp; Huberman, 1994)","previouslyFormattedCitation":"(Miles &amp; Huberman, 1994)"},"properties":{"noteIndex":0},"schema":"https://github.com/citation-style-language/schema/raw/master/csl-citation.json"}</w:instrText>
      </w:r>
      <w:r w:rsidRPr="0070003F">
        <w:rPr>
          <w:rFonts w:asciiTheme="minorHAnsi" w:hAnsiTheme="minorHAnsi" w:cstheme="minorHAnsi"/>
          <w:sz w:val="22"/>
          <w:szCs w:val="22"/>
        </w:rPr>
        <w:fldChar w:fldCharType="separate"/>
      </w:r>
      <w:r w:rsidRPr="0070003F">
        <w:rPr>
          <w:rFonts w:asciiTheme="minorHAnsi" w:hAnsiTheme="minorHAnsi" w:cstheme="minorHAnsi"/>
          <w:noProof/>
          <w:sz w:val="22"/>
          <w:szCs w:val="22"/>
        </w:rPr>
        <w:t>Miles &amp; Huberman (1994)</w:t>
      </w:r>
      <w:r w:rsidRPr="0070003F">
        <w:rPr>
          <w:rFonts w:asciiTheme="minorHAnsi" w:hAnsiTheme="minorHAnsi" w:cstheme="minorHAnsi"/>
          <w:sz w:val="22"/>
          <w:szCs w:val="22"/>
        </w:rPr>
        <w:fldChar w:fldCharType="end"/>
      </w:r>
      <w:r w:rsidRPr="0070003F">
        <w:rPr>
          <w:rFonts w:ascii="Calibri" w:eastAsia="Calibri" w:hAnsi="Calibri" w:cs="Calibri"/>
          <w:bCs/>
          <w:sz w:val="22"/>
          <w:szCs w:val="22"/>
        </w:rPr>
        <w:t xml:space="preserve"> model, which consists of data reduction, data display, and conclusion drawing or verification, without the use of statistical methods or quantitative analysis software, given the interpretative nature of this research. Data validity was ensured through source and technique triangulation as recommended by </w:t>
      </w:r>
      <w:r w:rsidRPr="0070003F">
        <w:rPr>
          <w:rFonts w:asciiTheme="minorHAnsi" w:hAnsiTheme="minorHAnsi" w:cstheme="minorHAnsi"/>
          <w:sz w:val="22"/>
          <w:szCs w:val="22"/>
        </w:rPr>
        <w:fldChar w:fldCharType="begin" w:fldLock="1"/>
      </w:r>
      <w:r w:rsidRPr="0070003F">
        <w:rPr>
          <w:rFonts w:asciiTheme="minorHAnsi" w:hAnsiTheme="minorHAnsi" w:cstheme="minorHAnsi"/>
          <w:sz w:val="22"/>
          <w:szCs w:val="22"/>
        </w:rPr>
        <w:instrText>ADDIN CSL_CITATION {"citationItems":[{"id":"ITEM-1","itemData":{"DOI":"https://inlislite.uin-suska.ac.id/opac/detail-opac?id=12221","author":[{"dropping-particle":"","family":"Moleong","given":"Lexy J","non-dropping-particle":"","parse-names":false,"suffix":""}],"edition":"36","id":"ITEM-1","issued":{"date-parts":[["2017"]]},"number-of-pages":"1-410","publisher":"Remaja Rosdakarya","title":"Metodologi Penelitian Kualitatif","type":"book"},"uris":["http://www.mendeley.com/documents/?uuid=87a40f3f-4459-4efa-a137-0af5787206f3"]}],"mendeley":{"formattedCitation":"(Moleong, 2017)","manualFormatting":"Moleong (2017)","plainTextFormattedCitation":"(Moleong, 2017)","previouslyFormattedCitation":"(Moleong, 2017)"},"properties":{"noteIndex":0},"schema":"https://github.com/citation-style-language/schema/raw/master/csl-citation.json"}</w:instrText>
      </w:r>
      <w:r w:rsidRPr="0070003F">
        <w:rPr>
          <w:rFonts w:asciiTheme="minorHAnsi" w:hAnsiTheme="minorHAnsi" w:cstheme="minorHAnsi"/>
          <w:sz w:val="22"/>
          <w:szCs w:val="22"/>
        </w:rPr>
        <w:fldChar w:fldCharType="separate"/>
      </w:r>
      <w:r w:rsidRPr="0070003F">
        <w:rPr>
          <w:rFonts w:asciiTheme="minorHAnsi" w:hAnsiTheme="minorHAnsi" w:cstheme="minorHAnsi"/>
          <w:noProof/>
          <w:sz w:val="22"/>
          <w:szCs w:val="22"/>
        </w:rPr>
        <w:t>Moleong (2017)</w:t>
      </w:r>
      <w:r w:rsidRPr="0070003F">
        <w:rPr>
          <w:rFonts w:asciiTheme="minorHAnsi" w:hAnsiTheme="minorHAnsi" w:cstheme="minorHAnsi"/>
          <w:sz w:val="22"/>
          <w:szCs w:val="22"/>
        </w:rPr>
        <w:fldChar w:fldCharType="end"/>
      </w:r>
      <w:r w:rsidRPr="0070003F">
        <w:rPr>
          <w:rFonts w:ascii="Calibri" w:eastAsia="Calibri" w:hAnsi="Calibri" w:cs="Calibri"/>
          <w:bCs/>
          <w:sz w:val="22"/>
          <w:szCs w:val="22"/>
        </w:rPr>
        <w:t>, while research ethics were maintained by obtaining official permission, ensuring participant confidentiality, and respecting privacy throughout the research process.</w:t>
      </w:r>
    </w:p>
    <w:p w14:paraId="63C0C5EA" w14:textId="77777777" w:rsidR="006E5FD2" w:rsidRPr="00F968F9" w:rsidRDefault="006E5FD2" w:rsidP="00F968F9">
      <w:pPr>
        <w:jc w:val="both"/>
        <w:rPr>
          <w:rFonts w:ascii="Calibri" w:eastAsia="Calibri" w:hAnsi="Calibri" w:cs="Calibri"/>
          <w:bCs/>
          <w:sz w:val="22"/>
          <w:szCs w:val="22"/>
          <w:lang w:val="en-ID"/>
        </w:rPr>
      </w:pPr>
    </w:p>
    <w:p w14:paraId="7F4A793A" w14:textId="77777777" w:rsidR="00EE5178" w:rsidRDefault="00A274B2">
      <w:pPr>
        <w:rPr>
          <w:rFonts w:ascii="Calibri" w:eastAsia="Calibri" w:hAnsi="Calibri" w:cs="Calibri"/>
          <w:b/>
          <w:sz w:val="22"/>
          <w:szCs w:val="22"/>
        </w:rPr>
      </w:pPr>
      <w:r>
        <w:rPr>
          <w:rFonts w:ascii="Calibri" w:eastAsia="Calibri" w:hAnsi="Calibri" w:cs="Calibri"/>
          <w:b/>
          <w:sz w:val="22"/>
          <w:szCs w:val="22"/>
        </w:rPr>
        <w:t>RESULTS AND DISCUSSION</w:t>
      </w:r>
    </w:p>
    <w:p w14:paraId="67199137" w14:textId="77777777" w:rsidR="00EE5178" w:rsidRDefault="00A274B2">
      <w:pPr>
        <w:rPr>
          <w:rFonts w:ascii="Calibri" w:eastAsia="Calibri" w:hAnsi="Calibri" w:cs="Calibri"/>
          <w:i/>
          <w:sz w:val="22"/>
          <w:szCs w:val="22"/>
        </w:rPr>
      </w:pPr>
      <w:r>
        <w:rPr>
          <w:rFonts w:ascii="Calibri" w:eastAsia="Calibri" w:hAnsi="Calibri" w:cs="Calibri"/>
          <w:b/>
          <w:sz w:val="22"/>
          <w:szCs w:val="22"/>
        </w:rPr>
        <w:t>Results</w:t>
      </w:r>
    </w:p>
    <w:p w14:paraId="282BDCDE" w14:textId="0531A1A6" w:rsidR="00F968F9" w:rsidRPr="0070003F" w:rsidRDefault="00F968F9" w:rsidP="00F968F9">
      <w:pPr>
        <w:ind w:firstLine="426"/>
        <w:jc w:val="both"/>
        <w:rPr>
          <w:rFonts w:ascii="Calibri" w:eastAsia="Calibri" w:hAnsi="Calibri" w:cs="Calibri"/>
          <w:sz w:val="22"/>
          <w:szCs w:val="22"/>
        </w:rPr>
      </w:pPr>
      <w:r w:rsidRPr="0070003F">
        <w:rPr>
          <w:rFonts w:ascii="Calibri" w:eastAsia="Calibri" w:hAnsi="Calibri" w:cs="Calibri"/>
          <w:sz w:val="22"/>
          <w:szCs w:val="22"/>
        </w:rPr>
        <w:t>Based on observations, there are no regular activities for reading the Qur'an at</w:t>
      </w:r>
      <w:r w:rsidR="00AD12D1">
        <w:rPr>
          <w:rFonts w:ascii="Calibri" w:eastAsia="Calibri" w:hAnsi="Calibri" w:cs="Calibri"/>
          <w:sz w:val="22"/>
          <w:szCs w:val="22"/>
        </w:rPr>
        <w:t xml:space="preserve"> </w:t>
      </w:r>
      <w:r w:rsidR="00AD12D1" w:rsidRPr="00AD12D1">
        <w:rPr>
          <w:rFonts w:asciiTheme="minorHAnsi" w:hAnsiTheme="minorHAnsi" w:cstheme="minorHAnsi"/>
          <w:sz w:val="22"/>
          <w:szCs w:val="22"/>
          <w:lang w:val="en-ID"/>
        </w:rPr>
        <w:t>junior high schools</w:t>
      </w:r>
      <w:r w:rsidRPr="0070003F">
        <w:rPr>
          <w:rFonts w:ascii="Calibri" w:eastAsia="Calibri" w:hAnsi="Calibri" w:cs="Calibri"/>
          <w:sz w:val="22"/>
          <w:szCs w:val="22"/>
        </w:rPr>
        <w:t>. There are no morning recitation programs, tahsin classes, or scheduled Qur'an literacy activities before or after lessons. Students only read the Qur'an during Islamic Education lessons, and even then, the time is very limited, averaging only 15–20 minutes per session.</w:t>
      </w:r>
    </w:p>
    <w:p w14:paraId="40C96E4A" w14:textId="77777777" w:rsidR="00CC3004" w:rsidRDefault="00CC3004" w:rsidP="00CC3004">
      <w:pPr>
        <w:jc w:val="center"/>
        <w:rPr>
          <w:rFonts w:asciiTheme="minorHAnsi" w:hAnsiTheme="minorHAnsi" w:cstheme="minorHAnsi"/>
          <w:sz w:val="22"/>
          <w:szCs w:val="22"/>
        </w:rPr>
      </w:pPr>
      <w:r w:rsidRPr="0070003F">
        <w:rPr>
          <w:rFonts w:asciiTheme="minorHAnsi" w:hAnsiTheme="minorHAnsi" w:cstheme="minorHAnsi"/>
          <w:noProof/>
          <w:sz w:val="22"/>
          <w:szCs w:val="22"/>
          <w:lang w:val="id-ID" w:eastAsia="id-ID"/>
        </w:rPr>
        <w:drawing>
          <wp:inline distT="0" distB="0" distL="0" distR="0" wp14:anchorId="3CAE8FF8" wp14:editId="4FC08F44">
            <wp:extent cx="2463800" cy="2076450"/>
            <wp:effectExtent l="0" t="0" r="0" b="0"/>
            <wp:docPr id="93534316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343165" name="Picture 93534316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63800" cy="2076450"/>
                    </a:xfrm>
                    <a:prstGeom prst="rect">
                      <a:avLst/>
                    </a:prstGeom>
                  </pic:spPr>
                </pic:pic>
              </a:graphicData>
            </a:graphic>
          </wp:inline>
        </w:drawing>
      </w:r>
    </w:p>
    <w:p w14:paraId="626CB7E0" w14:textId="25E6A3BF" w:rsidR="00F968F9" w:rsidRPr="0070003F" w:rsidRDefault="00F968F9" w:rsidP="00CC3004">
      <w:pPr>
        <w:jc w:val="center"/>
        <w:rPr>
          <w:rFonts w:asciiTheme="minorHAnsi" w:hAnsiTheme="minorHAnsi" w:cstheme="minorHAnsi"/>
          <w:sz w:val="22"/>
          <w:szCs w:val="22"/>
        </w:rPr>
      </w:pPr>
      <w:proofErr w:type="gramStart"/>
      <w:r w:rsidRPr="0070003F">
        <w:rPr>
          <w:rFonts w:asciiTheme="minorHAnsi" w:hAnsiTheme="minorHAnsi" w:cstheme="minorHAnsi"/>
          <w:b/>
          <w:bCs/>
          <w:i/>
          <w:iCs/>
          <w:sz w:val="22"/>
          <w:szCs w:val="22"/>
        </w:rPr>
        <w:t xml:space="preserve">Figure </w:t>
      </w:r>
      <w:r w:rsidR="00CC3004">
        <w:rPr>
          <w:rFonts w:asciiTheme="minorHAnsi" w:hAnsiTheme="minorHAnsi" w:cstheme="minorHAnsi"/>
          <w:b/>
          <w:bCs/>
          <w:i/>
          <w:iCs/>
          <w:sz w:val="22"/>
          <w:szCs w:val="22"/>
        </w:rPr>
        <w:t>1.</w:t>
      </w:r>
      <w:proofErr w:type="gramEnd"/>
      <w:r w:rsidR="00CC3004">
        <w:rPr>
          <w:rFonts w:asciiTheme="minorHAnsi" w:hAnsiTheme="minorHAnsi" w:cstheme="minorHAnsi"/>
          <w:sz w:val="22"/>
          <w:szCs w:val="22"/>
        </w:rPr>
        <w:t xml:space="preserve"> </w:t>
      </w:r>
      <w:r w:rsidRPr="0070003F">
        <w:rPr>
          <w:rFonts w:asciiTheme="minorHAnsi" w:hAnsiTheme="minorHAnsi" w:cstheme="minorHAnsi"/>
          <w:sz w:val="22"/>
          <w:szCs w:val="22"/>
        </w:rPr>
        <w:t xml:space="preserve">Al-Qur'an reading activities </w:t>
      </w:r>
    </w:p>
    <w:p w14:paraId="7FD6F173" w14:textId="77777777" w:rsidR="00F968F9" w:rsidRDefault="00F968F9" w:rsidP="00F968F9">
      <w:pPr>
        <w:jc w:val="center"/>
        <w:rPr>
          <w:rFonts w:ascii="Calibri" w:eastAsia="Calibri" w:hAnsi="Calibri" w:cs="Calibri"/>
          <w:iCs/>
          <w:sz w:val="22"/>
          <w:szCs w:val="22"/>
        </w:rPr>
      </w:pPr>
    </w:p>
    <w:p w14:paraId="50D0F4A8" w14:textId="7792E01A" w:rsidR="00F968F9" w:rsidRDefault="00F968F9" w:rsidP="00F1781C">
      <w:pPr>
        <w:ind w:firstLine="426"/>
        <w:jc w:val="both"/>
        <w:rPr>
          <w:rFonts w:ascii="Calibri" w:eastAsia="Calibri" w:hAnsi="Calibri" w:cs="Calibri"/>
          <w:iCs/>
          <w:sz w:val="22"/>
          <w:szCs w:val="22"/>
        </w:rPr>
      </w:pPr>
      <w:r w:rsidRPr="0070003F">
        <w:rPr>
          <w:rFonts w:ascii="Calibri" w:eastAsia="Calibri" w:hAnsi="Calibri" w:cs="Calibri"/>
          <w:iCs/>
          <w:sz w:val="22"/>
          <w:szCs w:val="22"/>
        </w:rPr>
        <w:t>From interviews with ten students, data was obtained showing that seven students rarely read the Qur'an outside of school. They admitted that they were not motivated to practice because there were no group activities at school and no study buddies at home. One student said, “I rarely read the Qur'an, except during religious studies lessons. At home, no one encourages me to read it, and my friends rarely do either.”</w:t>
      </w:r>
      <w:r w:rsidR="00F1781C">
        <w:rPr>
          <w:rFonts w:ascii="Calibri" w:eastAsia="Calibri" w:hAnsi="Calibri" w:cs="Calibri"/>
          <w:iCs/>
          <w:sz w:val="22"/>
          <w:szCs w:val="22"/>
        </w:rPr>
        <w:t xml:space="preserve"> </w:t>
      </w:r>
      <w:r w:rsidRPr="0070003F">
        <w:rPr>
          <w:rFonts w:ascii="Calibri" w:eastAsia="Calibri" w:hAnsi="Calibri" w:cs="Calibri"/>
          <w:iCs/>
          <w:sz w:val="22"/>
          <w:szCs w:val="22"/>
        </w:rPr>
        <w:t>Additionally, six students reported not receiving support from their parents. Some parents cannot read the Quran, while others are too busy working to ever ask or guide their children in reading it. One student said, “My parents can’t read the Quran, so I learn on my own. Sometimes I’m lazy because no one reminds me.”</w:t>
      </w:r>
    </w:p>
    <w:p w14:paraId="292B3907" w14:textId="77777777" w:rsidR="00CC3004" w:rsidRDefault="00F968F9" w:rsidP="00CC3004">
      <w:pPr>
        <w:jc w:val="center"/>
        <w:rPr>
          <w:rFonts w:asciiTheme="minorHAnsi" w:eastAsia="Calibri" w:hAnsiTheme="minorHAnsi" w:cstheme="minorHAnsi"/>
          <w:iCs/>
          <w:sz w:val="22"/>
          <w:szCs w:val="22"/>
        </w:rPr>
      </w:pPr>
      <w:r w:rsidRPr="002D7FB9">
        <w:rPr>
          <w:rFonts w:asciiTheme="majorHAnsi" w:hAnsiTheme="majorHAnsi" w:cstheme="majorBidi"/>
          <w:noProof/>
          <w:sz w:val="22"/>
          <w:szCs w:val="22"/>
          <w:lang w:val="id-ID" w:eastAsia="id-ID"/>
        </w:rPr>
        <w:lastRenderedPageBreak/>
        <w:drawing>
          <wp:inline distT="0" distB="0" distL="0" distR="0" wp14:anchorId="04C9B9E1" wp14:editId="076C8D66">
            <wp:extent cx="2539764" cy="2453833"/>
            <wp:effectExtent l="0" t="0" r="0" b="3810"/>
            <wp:docPr id="23733797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37975" name="Picture 237337975"/>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86241" cy="2498738"/>
                    </a:xfrm>
                    <a:prstGeom prst="rect">
                      <a:avLst/>
                    </a:prstGeom>
                  </pic:spPr>
                </pic:pic>
              </a:graphicData>
            </a:graphic>
          </wp:inline>
        </w:drawing>
      </w:r>
    </w:p>
    <w:p w14:paraId="52E9DABA" w14:textId="3F629207" w:rsidR="00F968F9" w:rsidRDefault="00F968F9" w:rsidP="00CC3004">
      <w:pPr>
        <w:jc w:val="center"/>
        <w:rPr>
          <w:rFonts w:asciiTheme="minorHAnsi" w:hAnsiTheme="minorHAnsi" w:cstheme="minorHAnsi"/>
          <w:sz w:val="22"/>
          <w:szCs w:val="22"/>
        </w:rPr>
      </w:pPr>
      <w:proofErr w:type="gramStart"/>
      <w:r w:rsidRPr="002D7FB9">
        <w:rPr>
          <w:rFonts w:asciiTheme="minorHAnsi" w:hAnsiTheme="minorHAnsi" w:cstheme="minorHAnsi"/>
          <w:b/>
          <w:bCs/>
          <w:i/>
          <w:iCs/>
          <w:sz w:val="22"/>
          <w:szCs w:val="22"/>
        </w:rPr>
        <w:t xml:space="preserve">Figure </w:t>
      </w:r>
      <w:r w:rsidR="00CC3004">
        <w:rPr>
          <w:rFonts w:asciiTheme="minorHAnsi" w:hAnsiTheme="minorHAnsi" w:cstheme="minorHAnsi"/>
          <w:b/>
          <w:bCs/>
          <w:i/>
          <w:iCs/>
          <w:sz w:val="22"/>
          <w:szCs w:val="22"/>
        </w:rPr>
        <w:t>2</w:t>
      </w:r>
      <w:r w:rsidRPr="002D7FB9">
        <w:rPr>
          <w:rFonts w:asciiTheme="minorHAnsi" w:hAnsiTheme="minorHAnsi" w:cstheme="minorHAnsi"/>
          <w:b/>
          <w:bCs/>
          <w:i/>
          <w:iCs/>
          <w:sz w:val="22"/>
          <w:szCs w:val="22"/>
        </w:rPr>
        <w:t>.</w:t>
      </w:r>
      <w:proofErr w:type="gramEnd"/>
      <w:r w:rsidR="00CC3004">
        <w:rPr>
          <w:rFonts w:asciiTheme="minorHAnsi" w:eastAsia="Calibri" w:hAnsiTheme="minorHAnsi" w:cstheme="minorHAnsi"/>
          <w:iCs/>
          <w:sz w:val="22"/>
          <w:szCs w:val="22"/>
        </w:rPr>
        <w:t xml:space="preserve"> </w:t>
      </w:r>
      <w:r w:rsidRPr="002D42AF">
        <w:rPr>
          <w:rFonts w:asciiTheme="minorHAnsi" w:hAnsiTheme="minorHAnsi" w:cstheme="minorHAnsi"/>
          <w:sz w:val="22"/>
          <w:szCs w:val="22"/>
        </w:rPr>
        <w:t>Interview with Students</w:t>
      </w:r>
    </w:p>
    <w:p w14:paraId="2E8B887F" w14:textId="77777777" w:rsidR="00DC5D19" w:rsidRPr="00CC3004" w:rsidRDefault="00DC5D19" w:rsidP="00CC3004">
      <w:pPr>
        <w:jc w:val="center"/>
        <w:rPr>
          <w:rFonts w:asciiTheme="minorHAnsi" w:eastAsia="Calibri" w:hAnsiTheme="minorHAnsi" w:cstheme="minorHAnsi"/>
          <w:iCs/>
          <w:sz w:val="22"/>
          <w:szCs w:val="22"/>
        </w:rPr>
      </w:pPr>
    </w:p>
    <w:p w14:paraId="70790688" w14:textId="58AC4233" w:rsidR="00F968F9" w:rsidRDefault="00F968F9" w:rsidP="00F1781C">
      <w:pPr>
        <w:ind w:firstLine="426"/>
        <w:jc w:val="both"/>
        <w:rPr>
          <w:rFonts w:ascii="Calibri" w:eastAsia="Calibri" w:hAnsi="Calibri" w:cs="Calibri"/>
          <w:iCs/>
          <w:sz w:val="22"/>
          <w:szCs w:val="22"/>
        </w:rPr>
      </w:pPr>
      <w:r w:rsidRPr="002D7FB9">
        <w:rPr>
          <w:rFonts w:ascii="Calibri" w:eastAsia="Calibri" w:hAnsi="Calibri" w:cs="Calibri"/>
          <w:iCs/>
          <w:sz w:val="22"/>
          <w:szCs w:val="22"/>
        </w:rPr>
        <w:t>Learning facilities are also an obstacle. Of the ten students, four do not have their own copies of the Qur'an at home. They can only read it at school or if they borrow it from a friend. Students who do not have a copy of the Qur'an tend to practice less frequently.</w:t>
      </w:r>
    </w:p>
    <w:p w14:paraId="6DFC7DFF" w14:textId="073103BB" w:rsidR="00F968F9" w:rsidRPr="00AA7195" w:rsidRDefault="00F968F9" w:rsidP="00CC3004">
      <w:pPr>
        <w:jc w:val="center"/>
        <w:rPr>
          <w:rFonts w:ascii="Book Antiqua" w:hAnsi="Book Antiqua" w:cstheme="majorBidi"/>
          <w:i/>
          <w:iCs/>
        </w:rPr>
      </w:pPr>
      <w:r w:rsidRPr="00AA7195">
        <w:rPr>
          <w:rFonts w:ascii="Book Antiqua" w:hAnsi="Book Antiqua" w:cstheme="majorBidi"/>
          <w:noProof/>
          <w:lang w:val="id-ID" w:eastAsia="id-ID"/>
        </w:rPr>
        <w:drawing>
          <wp:inline distT="0" distB="0" distL="0" distR="0" wp14:anchorId="160A6CCF" wp14:editId="2E78FE7A">
            <wp:extent cx="2489200" cy="2152650"/>
            <wp:effectExtent l="0" t="0" r="6350" b="0"/>
            <wp:docPr id="19720430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043061" name="Picture 197204306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489200" cy="2152650"/>
                    </a:xfrm>
                    <a:prstGeom prst="rect">
                      <a:avLst/>
                    </a:prstGeom>
                  </pic:spPr>
                </pic:pic>
              </a:graphicData>
            </a:graphic>
          </wp:inline>
        </w:drawing>
      </w:r>
      <w:r w:rsidRPr="00AA7195">
        <w:rPr>
          <w:rFonts w:ascii="Book Antiqua" w:hAnsi="Book Antiqua" w:cstheme="majorBidi"/>
        </w:rPr>
        <w:t xml:space="preserve">     </w:t>
      </w:r>
      <w:r w:rsidRPr="00AA7195">
        <w:rPr>
          <w:rFonts w:ascii="Book Antiqua" w:hAnsi="Book Antiqua" w:cstheme="majorBidi"/>
        </w:rPr>
        <w:br/>
      </w:r>
      <w:proofErr w:type="gramStart"/>
      <w:r>
        <w:rPr>
          <w:rFonts w:asciiTheme="minorHAnsi" w:hAnsiTheme="minorHAnsi" w:cstheme="minorHAnsi"/>
          <w:b/>
          <w:bCs/>
          <w:i/>
          <w:iCs/>
          <w:sz w:val="22"/>
          <w:szCs w:val="22"/>
        </w:rPr>
        <w:t xml:space="preserve">Figure </w:t>
      </w:r>
      <w:r w:rsidR="00CC3004">
        <w:rPr>
          <w:rFonts w:asciiTheme="minorHAnsi" w:hAnsiTheme="minorHAnsi" w:cstheme="minorHAnsi"/>
          <w:b/>
          <w:bCs/>
          <w:i/>
          <w:iCs/>
          <w:sz w:val="22"/>
          <w:szCs w:val="22"/>
        </w:rPr>
        <w:t>3</w:t>
      </w:r>
      <w:r w:rsidRPr="002D7FB9">
        <w:rPr>
          <w:rFonts w:asciiTheme="minorHAnsi" w:hAnsiTheme="minorHAnsi" w:cstheme="minorHAnsi"/>
          <w:b/>
          <w:bCs/>
          <w:i/>
          <w:iCs/>
          <w:sz w:val="22"/>
          <w:szCs w:val="22"/>
        </w:rPr>
        <w:t>.</w:t>
      </w:r>
      <w:proofErr w:type="gramEnd"/>
      <w:r w:rsidR="00CC3004">
        <w:rPr>
          <w:rFonts w:asciiTheme="minorHAnsi" w:hAnsiTheme="minorHAnsi" w:cstheme="minorHAnsi"/>
          <w:i/>
          <w:iCs/>
          <w:sz w:val="22"/>
          <w:szCs w:val="22"/>
        </w:rPr>
        <w:t xml:space="preserve"> </w:t>
      </w:r>
      <w:r w:rsidRPr="002D42AF">
        <w:rPr>
          <w:rFonts w:asciiTheme="minorHAnsi" w:hAnsiTheme="minorHAnsi" w:cstheme="minorHAnsi"/>
          <w:sz w:val="22"/>
          <w:szCs w:val="22"/>
        </w:rPr>
        <w:t>The Qur'an Mushaf at school</w:t>
      </w:r>
    </w:p>
    <w:p w14:paraId="0A7AA3BD" w14:textId="77777777" w:rsidR="00F968F9" w:rsidRDefault="00F968F9" w:rsidP="00F968F9">
      <w:pPr>
        <w:jc w:val="both"/>
        <w:rPr>
          <w:rFonts w:ascii="Calibri" w:eastAsia="Calibri" w:hAnsi="Calibri" w:cs="Calibri"/>
          <w:iCs/>
          <w:sz w:val="22"/>
          <w:szCs w:val="22"/>
        </w:rPr>
      </w:pPr>
      <w:r>
        <w:rPr>
          <w:rFonts w:ascii="Calibri" w:eastAsia="Calibri" w:hAnsi="Calibri" w:cs="Calibri"/>
          <w:iCs/>
          <w:sz w:val="22"/>
          <w:szCs w:val="22"/>
        </w:rPr>
        <w:tab/>
      </w:r>
    </w:p>
    <w:p w14:paraId="1DE84621" w14:textId="63748900" w:rsidR="00F968F9" w:rsidRDefault="00F968F9" w:rsidP="00F1781C">
      <w:pPr>
        <w:ind w:firstLine="426"/>
        <w:jc w:val="both"/>
        <w:rPr>
          <w:rFonts w:ascii="Calibri" w:eastAsia="Calibri" w:hAnsi="Calibri" w:cs="Calibri"/>
          <w:iCs/>
          <w:sz w:val="22"/>
          <w:szCs w:val="22"/>
        </w:rPr>
      </w:pPr>
      <w:r w:rsidRPr="002D7FB9">
        <w:rPr>
          <w:rFonts w:ascii="Calibri" w:eastAsia="Calibri" w:hAnsi="Calibri" w:cs="Calibri"/>
          <w:iCs/>
          <w:sz w:val="22"/>
          <w:szCs w:val="22"/>
        </w:rPr>
        <w:t>The PAI teacher emphasized that the limited time allocated for religious studies meant that the process of teaching students to read the Qur'an could not be carried out to the fullest extent. The teacher said, “The time is very limited, especially since there is no special program for familiarization. Students only rely on PAI lessons, but that alone is not enough.”</w:t>
      </w:r>
    </w:p>
    <w:p w14:paraId="72D729DD" w14:textId="77777777" w:rsidR="00F968F9" w:rsidRDefault="00F968F9" w:rsidP="00F968F9">
      <w:pPr>
        <w:jc w:val="center"/>
        <w:rPr>
          <w:rFonts w:ascii="Calibri" w:eastAsia="Calibri" w:hAnsi="Calibri" w:cs="Calibri"/>
          <w:iCs/>
          <w:sz w:val="22"/>
          <w:szCs w:val="22"/>
        </w:rPr>
      </w:pPr>
      <w:r w:rsidRPr="00AA7195">
        <w:rPr>
          <w:rFonts w:ascii="Book Antiqua" w:hAnsi="Book Antiqua" w:cstheme="majorBidi"/>
          <w:noProof/>
          <w:lang w:val="id-ID" w:eastAsia="id-ID"/>
        </w:rPr>
        <w:lastRenderedPageBreak/>
        <w:drawing>
          <wp:inline distT="0" distB="0" distL="0" distR="0" wp14:anchorId="28406BDE" wp14:editId="402C33BB">
            <wp:extent cx="3206616" cy="2405062"/>
            <wp:effectExtent l="0" t="0" r="0" b="0"/>
            <wp:docPr id="1744710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710724" name="Picture 1744710724"/>
                    <pic:cNvPicPr/>
                  </pic:nvPicPr>
                  <pic:blipFill>
                    <a:blip r:embed="rId18">
                      <a:extLst>
                        <a:ext uri="{28A0092B-C50C-407E-A947-70E740481C1C}">
                          <a14:useLocalDpi xmlns:a14="http://schemas.microsoft.com/office/drawing/2010/main" val="0"/>
                        </a:ext>
                      </a:extLst>
                    </a:blip>
                    <a:stretch>
                      <a:fillRect/>
                    </a:stretch>
                  </pic:blipFill>
                  <pic:spPr>
                    <a:xfrm>
                      <a:off x="0" y="0"/>
                      <a:ext cx="3214434" cy="2410926"/>
                    </a:xfrm>
                    <a:prstGeom prst="rect">
                      <a:avLst/>
                    </a:prstGeom>
                  </pic:spPr>
                </pic:pic>
              </a:graphicData>
            </a:graphic>
          </wp:inline>
        </w:drawing>
      </w:r>
    </w:p>
    <w:p w14:paraId="436E073C" w14:textId="56CCE93F" w:rsidR="00F968F9" w:rsidRDefault="00F968F9" w:rsidP="00F968F9">
      <w:pPr>
        <w:jc w:val="center"/>
        <w:rPr>
          <w:rFonts w:ascii="Calibri" w:eastAsia="Calibri" w:hAnsi="Calibri" w:cs="Calibri"/>
          <w:iCs/>
          <w:sz w:val="22"/>
          <w:szCs w:val="22"/>
        </w:rPr>
      </w:pPr>
      <w:proofErr w:type="gramStart"/>
      <w:r w:rsidRPr="00F968F9">
        <w:rPr>
          <w:rFonts w:ascii="Calibri" w:eastAsia="Calibri" w:hAnsi="Calibri" w:cs="Calibri"/>
          <w:b/>
          <w:bCs/>
          <w:iCs/>
          <w:sz w:val="22"/>
          <w:szCs w:val="22"/>
        </w:rPr>
        <w:t xml:space="preserve">Figure </w:t>
      </w:r>
      <w:r w:rsidR="00CC3004">
        <w:rPr>
          <w:rFonts w:ascii="Calibri" w:eastAsia="Calibri" w:hAnsi="Calibri" w:cs="Calibri"/>
          <w:b/>
          <w:bCs/>
          <w:iCs/>
          <w:sz w:val="22"/>
          <w:szCs w:val="22"/>
        </w:rPr>
        <w:t>4</w:t>
      </w:r>
      <w:r w:rsidRPr="00F968F9">
        <w:rPr>
          <w:rFonts w:ascii="Calibri" w:eastAsia="Calibri" w:hAnsi="Calibri" w:cs="Calibri"/>
          <w:b/>
          <w:bCs/>
          <w:iCs/>
          <w:sz w:val="22"/>
          <w:szCs w:val="22"/>
        </w:rPr>
        <w:t>.</w:t>
      </w:r>
      <w:proofErr w:type="gramEnd"/>
      <w:r>
        <w:rPr>
          <w:rFonts w:ascii="Calibri" w:eastAsia="Calibri" w:hAnsi="Calibri" w:cs="Calibri"/>
          <w:iCs/>
          <w:sz w:val="22"/>
          <w:szCs w:val="22"/>
        </w:rPr>
        <w:t xml:space="preserve"> </w:t>
      </w:r>
      <w:r w:rsidRPr="00931506">
        <w:rPr>
          <w:rFonts w:ascii="Calibri" w:eastAsia="Calibri" w:hAnsi="Calibri" w:cs="Calibri"/>
          <w:iCs/>
          <w:sz w:val="22"/>
          <w:szCs w:val="22"/>
        </w:rPr>
        <w:t>Interview with PAI teachers</w:t>
      </w:r>
    </w:p>
    <w:p w14:paraId="6F185DB0" w14:textId="77777777" w:rsidR="00F968F9" w:rsidRDefault="00F968F9" w:rsidP="00F968F9">
      <w:pPr>
        <w:jc w:val="both"/>
        <w:rPr>
          <w:rFonts w:ascii="Calibri" w:eastAsia="Calibri" w:hAnsi="Calibri" w:cs="Calibri"/>
          <w:iCs/>
          <w:sz w:val="22"/>
          <w:szCs w:val="22"/>
        </w:rPr>
      </w:pPr>
    </w:p>
    <w:p w14:paraId="14CF216D" w14:textId="08B8A31D" w:rsidR="00F968F9" w:rsidRPr="00516DB6" w:rsidRDefault="00F968F9" w:rsidP="00F1781C">
      <w:pPr>
        <w:ind w:firstLine="426"/>
        <w:jc w:val="both"/>
        <w:rPr>
          <w:rFonts w:ascii="Calibri" w:eastAsia="Calibri" w:hAnsi="Calibri" w:cs="Calibri"/>
          <w:iCs/>
          <w:sz w:val="22"/>
          <w:szCs w:val="22"/>
        </w:rPr>
      </w:pPr>
      <w:r w:rsidRPr="00516DB6">
        <w:rPr>
          <w:rFonts w:ascii="Calibri" w:eastAsia="Calibri" w:hAnsi="Calibri" w:cs="Calibri"/>
          <w:iCs/>
          <w:sz w:val="22"/>
          <w:szCs w:val="22"/>
        </w:rPr>
        <w:t>The Deputy Principal and Principal acknowledged that the school does not yet have a program to encourage students to read the Qur'an due to time constraints, a lack of teaching staff, and a focus on other academic activities. They are aware that the absence of such a program has led to low student interest and ability. The Principal stated, “We do not yet have a specific program for the habit of reading the Qur’an. Our focus is still on academics. However, we recognize that such a program is necessary in the future.”</w:t>
      </w:r>
    </w:p>
    <w:p w14:paraId="5ED7A37F" w14:textId="40DAF42E" w:rsidR="00CC3004" w:rsidRDefault="00F968F9" w:rsidP="00CC3004">
      <w:pPr>
        <w:jc w:val="center"/>
        <w:rPr>
          <w:rFonts w:asciiTheme="minorHAnsi" w:hAnsiTheme="minorHAnsi" w:cstheme="minorHAnsi"/>
          <w:b/>
          <w:bCs/>
          <w:i/>
          <w:iCs/>
          <w:sz w:val="22"/>
          <w:szCs w:val="22"/>
        </w:rPr>
      </w:pPr>
      <w:r w:rsidRPr="00AA7195">
        <w:rPr>
          <w:rFonts w:ascii="Book Antiqua" w:hAnsi="Book Antiqua" w:cstheme="majorBidi"/>
          <w:noProof/>
          <w:lang w:val="id-ID" w:eastAsia="id-ID"/>
        </w:rPr>
        <w:drawing>
          <wp:inline distT="0" distB="0" distL="0" distR="0" wp14:anchorId="2549C9FE" wp14:editId="4FE902C6">
            <wp:extent cx="2514600" cy="2590800"/>
            <wp:effectExtent l="0" t="0" r="0" b="0"/>
            <wp:docPr id="130134339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343395" name="Picture 130134339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0" cy="2590800"/>
                    </a:xfrm>
                    <a:prstGeom prst="rect">
                      <a:avLst/>
                    </a:prstGeom>
                  </pic:spPr>
                </pic:pic>
              </a:graphicData>
            </a:graphic>
          </wp:inline>
        </w:drawing>
      </w:r>
      <w:r w:rsidRPr="00AA7195">
        <w:rPr>
          <w:rFonts w:ascii="Book Antiqua" w:hAnsi="Book Antiqua" w:cstheme="majorBidi"/>
        </w:rPr>
        <w:tab/>
      </w:r>
      <w:r w:rsidRPr="00AA7195">
        <w:rPr>
          <w:rFonts w:ascii="Book Antiqua" w:hAnsi="Book Antiqua" w:cstheme="majorBidi"/>
        </w:rPr>
        <w:br/>
      </w:r>
      <w:proofErr w:type="gramStart"/>
      <w:r w:rsidRPr="00516DB6">
        <w:rPr>
          <w:rFonts w:asciiTheme="minorHAnsi" w:hAnsiTheme="minorHAnsi" w:cstheme="minorHAnsi"/>
          <w:b/>
          <w:bCs/>
          <w:i/>
          <w:iCs/>
          <w:sz w:val="22"/>
          <w:szCs w:val="22"/>
        </w:rPr>
        <w:t xml:space="preserve">Figure </w:t>
      </w:r>
      <w:r w:rsidR="00CC3004">
        <w:rPr>
          <w:rFonts w:asciiTheme="minorHAnsi" w:hAnsiTheme="minorHAnsi" w:cstheme="minorHAnsi"/>
          <w:b/>
          <w:bCs/>
          <w:i/>
          <w:iCs/>
          <w:sz w:val="22"/>
          <w:szCs w:val="22"/>
        </w:rPr>
        <w:t>6</w:t>
      </w:r>
      <w:r w:rsidRPr="00516DB6">
        <w:rPr>
          <w:rFonts w:asciiTheme="minorHAnsi" w:hAnsiTheme="minorHAnsi" w:cstheme="minorHAnsi"/>
          <w:b/>
          <w:bCs/>
          <w:i/>
          <w:iCs/>
          <w:sz w:val="22"/>
          <w:szCs w:val="22"/>
        </w:rPr>
        <w:t>.</w:t>
      </w:r>
      <w:proofErr w:type="gramEnd"/>
    </w:p>
    <w:p w14:paraId="2562D367" w14:textId="78D5E05C" w:rsidR="00F968F9" w:rsidRPr="00CC3004" w:rsidRDefault="00F968F9" w:rsidP="00CC3004">
      <w:pPr>
        <w:jc w:val="center"/>
        <w:rPr>
          <w:rFonts w:asciiTheme="minorHAnsi" w:hAnsiTheme="minorHAnsi" w:cstheme="minorHAnsi"/>
          <w:i/>
          <w:iCs/>
          <w:sz w:val="22"/>
          <w:szCs w:val="22"/>
        </w:rPr>
      </w:pPr>
      <w:r w:rsidRPr="00931506">
        <w:rPr>
          <w:rFonts w:asciiTheme="minorHAnsi" w:hAnsiTheme="minorHAnsi" w:cstheme="minorHAnsi"/>
          <w:sz w:val="22"/>
          <w:szCs w:val="22"/>
        </w:rPr>
        <w:t>Interview with the</w:t>
      </w:r>
      <w:r>
        <w:rPr>
          <w:rFonts w:asciiTheme="minorHAnsi" w:hAnsiTheme="minorHAnsi" w:cstheme="minorHAnsi"/>
          <w:sz w:val="22"/>
          <w:szCs w:val="22"/>
        </w:rPr>
        <w:t xml:space="preserve"> </w:t>
      </w:r>
      <w:r w:rsidRPr="00931506">
        <w:rPr>
          <w:rFonts w:asciiTheme="minorHAnsi" w:hAnsiTheme="minorHAnsi" w:cstheme="minorHAnsi"/>
          <w:sz w:val="22"/>
          <w:szCs w:val="22"/>
        </w:rPr>
        <w:t>principal</w:t>
      </w:r>
    </w:p>
    <w:p w14:paraId="5B54E46B" w14:textId="77777777" w:rsidR="00F968F9" w:rsidRDefault="00F968F9" w:rsidP="00F968F9">
      <w:pPr>
        <w:jc w:val="both"/>
        <w:rPr>
          <w:rFonts w:ascii="Calibri" w:eastAsia="Calibri" w:hAnsi="Calibri" w:cs="Calibri"/>
          <w:iCs/>
          <w:sz w:val="22"/>
          <w:szCs w:val="22"/>
        </w:rPr>
      </w:pPr>
    </w:p>
    <w:p w14:paraId="62CBBA15" w14:textId="2E564868" w:rsidR="00F968F9" w:rsidRDefault="00F968F9" w:rsidP="00F1781C">
      <w:pPr>
        <w:ind w:firstLine="426"/>
        <w:jc w:val="both"/>
        <w:rPr>
          <w:rFonts w:ascii="Calibri" w:eastAsia="Calibri" w:hAnsi="Calibri" w:cs="Calibri"/>
          <w:sz w:val="22"/>
          <w:szCs w:val="22"/>
        </w:rPr>
      </w:pPr>
      <w:r w:rsidRPr="00516DB6">
        <w:rPr>
          <w:rFonts w:ascii="Calibri" w:eastAsia="Calibri" w:hAnsi="Calibri" w:cs="Calibri"/>
          <w:iCs/>
          <w:sz w:val="22"/>
          <w:szCs w:val="22"/>
        </w:rPr>
        <w:t>Overall, the results of the study indicate that the absence of activities to encourage reading the Qur'an at school has a direct impact on students' low motivation and ability to read the Qur'an. This condition is exacerbated by a lack of family support and limited facilities at home. These findings emphasize the need for joint efforts between schools and families to create better habits of reading the Qur'an among students.</w:t>
      </w:r>
    </w:p>
    <w:p w14:paraId="4D2587E1" w14:textId="77777777" w:rsidR="00EE5178" w:rsidRDefault="00EE5178">
      <w:pPr>
        <w:jc w:val="both"/>
        <w:rPr>
          <w:rFonts w:ascii="Calibri" w:eastAsia="Calibri" w:hAnsi="Calibri" w:cs="Calibri"/>
          <w:i/>
          <w:sz w:val="22"/>
          <w:szCs w:val="22"/>
        </w:rPr>
      </w:pPr>
    </w:p>
    <w:p w14:paraId="33DA977C" w14:textId="77777777" w:rsidR="00EE5178" w:rsidRDefault="00A274B2">
      <w:pPr>
        <w:jc w:val="both"/>
        <w:rPr>
          <w:rFonts w:ascii="Calibri" w:eastAsia="Calibri" w:hAnsi="Calibri" w:cs="Calibri"/>
          <w:i/>
          <w:sz w:val="22"/>
          <w:szCs w:val="22"/>
        </w:rPr>
      </w:pPr>
      <w:r>
        <w:rPr>
          <w:rFonts w:ascii="Calibri" w:eastAsia="Calibri" w:hAnsi="Calibri" w:cs="Calibri"/>
          <w:b/>
          <w:sz w:val="22"/>
          <w:szCs w:val="22"/>
        </w:rPr>
        <w:t>Discussion</w:t>
      </w:r>
    </w:p>
    <w:p w14:paraId="048E59ED" w14:textId="77777777" w:rsidR="003B560C" w:rsidRDefault="003B560C" w:rsidP="003B560C">
      <w:pPr>
        <w:ind w:firstLine="426"/>
        <w:jc w:val="both"/>
        <w:rPr>
          <w:rFonts w:ascii="Calibri" w:eastAsia="Calibri" w:hAnsi="Calibri" w:cs="Calibri"/>
          <w:sz w:val="22"/>
          <w:szCs w:val="22"/>
          <w:lang w:val="en-ID"/>
        </w:rPr>
      </w:pPr>
      <w:r w:rsidRPr="00543550">
        <w:rPr>
          <w:rFonts w:ascii="Calibri" w:eastAsia="Calibri" w:hAnsi="Calibri" w:cs="Calibri"/>
          <w:sz w:val="22"/>
          <w:szCs w:val="22"/>
          <w:lang w:val="en-ID"/>
        </w:rPr>
        <w:t xml:space="preserve">The results of this study indicate that the low ability to read the Qur'an among junior high school students is mainly due to a lack of internal motivation, insufficient family support, an </w:t>
      </w:r>
      <w:r w:rsidRPr="00543550">
        <w:rPr>
          <w:rFonts w:ascii="Calibri" w:eastAsia="Calibri" w:hAnsi="Calibri" w:cs="Calibri"/>
          <w:sz w:val="22"/>
          <w:szCs w:val="22"/>
          <w:lang w:val="en-ID"/>
        </w:rPr>
        <w:lastRenderedPageBreak/>
        <w:t>unsupportive social environment, and limited learning facilities. These findings align with the theory of internal and external factors influencing the ability to read the Quran, where internal factors include motivation, interest, and students' psychological conditions, while external factors encompass family support, social environment, and learning facilities</w:t>
      </w:r>
      <w:r>
        <w:rPr>
          <w:rFonts w:ascii="Calibri" w:eastAsia="Calibri" w:hAnsi="Calibri" w:cs="Calibri"/>
          <w:sz w:val="22"/>
          <w:szCs w:val="22"/>
          <w:lang w:val="en-ID"/>
        </w:rPr>
        <w:t xml:space="preserve"> </w:t>
      </w:r>
      <w:r>
        <w:rPr>
          <w:rFonts w:ascii="Calibri" w:eastAsia="Calibri" w:hAnsi="Calibri" w:cs="Calibri"/>
          <w:sz w:val="22"/>
          <w:szCs w:val="22"/>
          <w:lang w:val="en-ID"/>
        </w:rPr>
        <w:fldChar w:fldCharType="begin" w:fldLock="1"/>
      </w:r>
      <w:r>
        <w:rPr>
          <w:rFonts w:ascii="Calibri" w:eastAsia="Calibri" w:hAnsi="Calibri" w:cs="Calibri"/>
          <w:sz w:val="22"/>
          <w:szCs w:val="22"/>
          <w:lang w:val="en-ID"/>
        </w:rPr>
        <w:instrText>ADDIN CSL_CITATION {"citationItems":[{"id":"ITEM-1","itemData":{"DOI":"https://bitarajournal.com/index.php/bitarajournal/article/view/415","abstract":"This study pertains to the mastery levels of Quranic Tajweed knowledge among students in public higher education institutions (IPTAs). The study aims to identify the extent of proficiency in reading the Quran among IPTA students, observe differences in Quranic reading proficiency based on demographic factors, and identify the contributing factors to students' Quranic reading ability. The study respondents consist of 121 IPTA students from Universiti Teknologi Mara (UiTM), Universiti Teknologi Malaysia (UTM), and Universiti Sains Islam Malaysia (USIM). This research employs a questionnaire to collect study data, and quantitative data is analyzed using percentages, frequencies, means, and standard deviations based on Statistical Package for the Social Sciences (SPSS) version 20.0. The study findings indicate that students' abilities are moderate in terms of basic Quranic recitation aspects, and specific aspects still pose challenges for many students, such as mastering knowledge of melodies, melodious recitation, understanding the rules of Tajweed, and reciting with Tajweed. The study also finds that variations in Quranic reading proficiency exist based on gender, highest education level, field of study, and place of education. The research also identifies several factors contributing to students' mastery of Tajweed knowledge and Quranic reading. To ensure that students can achieve the best possible mastery of Tajweed knowledge, the researcher has suggested several steps that could be taken into consideration by the Ministry of Education Malaysia (MOE), school administrations, teachers, and parents.","author":[{"dropping-particle":"","family":"Fathullah Faris","given":"Ahmad","non-dropping-particle":"","parse-names":false,"suffix":""},{"dropping-particle":"","family":"Nur Hadis Rahman","given":"Siti A","non-dropping-particle":"","parse-names":false,"suffix":""},{"dropping-particle":"","family":"Talhah Jima","given":"Muhammad","non-dropping-particle":"","parse-names":false,"suffix":""},{"dropping-particle":"","family":"Sobri Faisal","given":"Muhammad","non-dropping-particle":"","parse-names":false,"suffix":""},{"dropping-particle":"","family":"Raehan Mustafa","given":"Radhiahtul","non-dropping-particle":"","parse-names":false,"suffix":""}],"container-title":"BITARA International Journal of Civilizational Studies and Human Sciences","id":"ITEM-1","issue":"4","issued":{"date-parts":[["2023"]]},"page":"127-138","title":"Quranic Reading Proficiency and Factors Affecting Mastery Quran among Public University Students","type":"article-journal","volume":"6"},"uris":["http://www.mendeley.com/documents/?uuid=34fe9f54-44bd-4b1f-9555-c75efa70c32c"]}],"mendeley":{"formattedCitation":"(Fathullah Faris et al., 2023)","manualFormatting":"(Fathullah Faris et al., 2023;","plainTextFormattedCitation":"(Fathullah Faris et al., 2023)","previouslyFormattedCitation":"(Fathullah Faris et al., 2023)"},"properties":{"noteIndex":0},"schema":"https://github.com/citation-style-language/schema/raw/master/csl-citation.json"}</w:instrText>
      </w:r>
      <w:r>
        <w:rPr>
          <w:rFonts w:ascii="Calibri" w:eastAsia="Calibri" w:hAnsi="Calibri" w:cs="Calibri"/>
          <w:sz w:val="22"/>
          <w:szCs w:val="22"/>
          <w:lang w:val="en-ID"/>
        </w:rPr>
        <w:fldChar w:fldCharType="separate"/>
      </w:r>
      <w:r w:rsidRPr="00CA7FB2">
        <w:rPr>
          <w:rFonts w:ascii="Calibri" w:eastAsia="Calibri" w:hAnsi="Calibri" w:cs="Calibri"/>
          <w:noProof/>
          <w:sz w:val="22"/>
          <w:szCs w:val="22"/>
          <w:lang w:val="en-ID"/>
        </w:rPr>
        <w:t>(Fathullah Faris et al., 2023</w:t>
      </w:r>
      <w:r>
        <w:rPr>
          <w:rFonts w:ascii="Calibri" w:eastAsia="Calibri" w:hAnsi="Calibri" w:cs="Calibri"/>
          <w:noProof/>
          <w:sz w:val="22"/>
          <w:szCs w:val="22"/>
          <w:lang w:val="en-ID"/>
        </w:rPr>
        <w:t>;</w:t>
      </w:r>
      <w:r>
        <w:rPr>
          <w:rFonts w:ascii="Calibri" w:eastAsia="Calibri" w:hAnsi="Calibri" w:cs="Calibri"/>
          <w:sz w:val="22"/>
          <w:szCs w:val="22"/>
          <w:lang w:val="en-ID"/>
        </w:rPr>
        <w:fldChar w:fldCharType="end"/>
      </w:r>
      <w:r>
        <w:rPr>
          <w:rFonts w:ascii="Calibri" w:eastAsia="Calibri" w:hAnsi="Calibri" w:cs="Calibri"/>
          <w:sz w:val="22"/>
          <w:szCs w:val="22"/>
          <w:lang w:val="en-ID"/>
        </w:rPr>
        <w:t xml:space="preserve"> </w:t>
      </w:r>
      <w:r>
        <w:rPr>
          <w:rFonts w:ascii="Calibri" w:eastAsia="Calibri" w:hAnsi="Calibri" w:cs="Calibri"/>
          <w:sz w:val="22"/>
          <w:szCs w:val="22"/>
          <w:lang w:val="en-ID"/>
        </w:rPr>
        <w:fldChar w:fldCharType="begin" w:fldLock="1"/>
      </w:r>
      <w:r>
        <w:rPr>
          <w:rFonts w:ascii="Calibri" w:eastAsia="Calibri" w:hAnsi="Calibri" w:cs="Calibri"/>
          <w:sz w:val="22"/>
          <w:szCs w:val="22"/>
          <w:lang w:val="en-ID"/>
        </w:rPr>
        <w:instrText>ADDIN CSL_CITATION {"citationItems":[{"id":"ITEM-1","itemData":{"DOI":"10.35723/ajie.v5i1.161","ISSN":"2657-1781","abstract":"This article sought to explore the student motivation in memorizing the Quran. A qualitative study through semi-structured interviews with six participants was done to gain data for this study. The findings showed that parents, teachers and the participants themselves influenced student motivation in memorising the Quran. The role of parental guidance and advice was the most influential factor leading to cause among students in learning the Quran. Implications of this study, the students themselves and teachers also were the source of motivation to memorize. At the same time, teachers should always assist and help students in their memorization of the Quran. That way, students will feel more confident to continue their memorization. Therefore, this study can be helpful as a reference in lowering the gap in motivation in Quranic memorization. Hence, the researchers believe that this study will help the other researchers continue and elaborate more on Quranic memorization about the cause.","author":[{"dropping-particle":"","family":"Abdullah","given":"Nik Md Saiful Azizi Nik","non-dropping-particle":"","parse-names":false,"suffix":""},{"dropping-particle":"","family":"Sabbri","given":"Fathiyah Solehah Mohd","non-dropping-particle":"","parse-names":false,"suffix":""},{"dropping-particle":"","family":"Isa","given":"Rabi'atul Athirah Muhammad","non-dropping-particle":"","parse-names":false,"suffix":""}],"container-title":"Al-Hayat: Journal of Islamic Education","id":"ITEM-1","issue":"1","issued":{"date-parts":[["2021"]]},"page":"100","title":"Exploring Student Motivation in Quranic Memorization in Selected Islamic Secondary Schools (a Case Study)","type":"article-journal","volume":"5"},"uris":["http://www.mendeley.com/documents/?uuid=ae6335eb-5e6f-4bb6-a2fd-82cbeb218fd5"]}],"mendeley":{"formattedCitation":"(Abdullah et al., 2021)","manualFormatting":"Abdullah et al., 2021;","plainTextFormattedCitation":"(Abdullah et al., 2021)","previouslyFormattedCitation":"(Abdullah et al., 2021)"},"properties":{"noteIndex":0},"schema":"https://github.com/citation-style-language/schema/raw/master/csl-citation.json"}</w:instrText>
      </w:r>
      <w:r>
        <w:rPr>
          <w:rFonts w:ascii="Calibri" w:eastAsia="Calibri" w:hAnsi="Calibri" w:cs="Calibri"/>
          <w:sz w:val="22"/>
          <w:szCs w:val="22"/>
          <w:lang w:val="en-ID"/>
        </w:rPr>
        <w:fldChar w:fldCharType="separate"/>
      </w:r>
      <w:r w:rsidRPr="00CA7FB2">
        <w:rPr>
          <w:rFonts w:ascii="Calibri" w:eastAsia="Calibri" w:hAnsi="Calibri" w:cs="Calibri"/>
          <w:noProof/>
          <w:sz w:val="22"/>
          <w:szCs w:val="22"/>
          <w:lang w:val="en-ID"/>
        </w:rPr>
        <w:t>Abdullah et al., 2021</w:t>
      </w:r>
      <w:r>
        <w:rPr>
          <w:rFonts w:ascii="Calibri" w:eastAsia="Calibri" w:hAnsi="Calibri" w:cs="Calibri"/>
          <w:noProof/>
          <w:sz w:val="22"/>
          <w:szCs w:val="22"/>
          <w:lang w:val="en-ID"/>
        </w:rPr>
        <w:t>;</w:t>
      </w:r>
      <w:r>
        <w:rPr>
          <w:rFonts w:ascii="Calibri" w:eastAsia="Calibri" w:hAnsi="Calibri" w:cs="Calibri"/>
          <w:sz w:val="22"/>
          <w:szCs w:val="22"/>
          <w:lang w:val="en-ID"/>
        </w:rPr>
        <w:fldChar w:fldCharType="end"/>
      </w:r>
      <w:r>
        <w:rPr>
          <w:rFonts w:ascii="Calibri" w:eastAsia="Calibri" w:hAnsi="Calibri" w:cs="Calibri"/>
          <w:sz w:val="22"/>
          <w:szCs w:val="22"/>
          <w:lang w:val="en-ID"/>
        </w:rPr>
        <w:t xml:space="preserve"> </w:t>
      </w:r>
      <w:r>
        <w:rPr>
          <w:rStyle w:val="FootnoteReference"/>
          <w:rFonts w:ascii="Calibri" w:eastAsia="Calibri" w:hAnsi="Calibri" w:cs="Calibri"/>
          <w:sz w:val="22"/>
          <w:szCs w:val="22"/>
          <w:lang w:val="en-ID"/>
        </w:rPr>
        <w:fldChar w:fldCharType="begin" w:fldLock="1"/>
      </w:r>
      <w:r>
        <w:rPr>
          <w:rFonts w:ascii="Calibri" w:eastAsia="Calibri" w:hAnsi="Calibri" w:cs="Calibri"/>
          <w:sz w:val="22"/>
          <w:szCs w:val="22"/>
          <w:lang w:val="en-ID"/>
        </w:rPr>
        <w:instrText>ADDIN CSL_CITATION {"citationItems":[{"id":"ITEM-1","itemData":{"DOI":"10.26555/jecce.v5i1.5974","abstract":"No children can develop without the support of the family. Family support is one of the contributing factors to children's success. This study aims to illustrate family support for young Ḥāfiẓ al-Qur’ān . This research is descriptive qualitative research. The research subjects are five children, Ḥāfiẓ al-Qur’ān since they were seven years old, their teachers, and their parents. Data collection was done through interviews and observation, followed by an analysis using the interactive model by Miles, Huberman, and Saldana. The research findings show that family support for young Ḥāfiẓ al-Qur’ān includes emotional support, appreciation, instrumental support, information, and spiritual support. Future studies should focus on the parents' spiritual support for children's success, as it requires more theoretical studies. This research is expected to inspire and motivate parents to accompany their children, especially in memorizing the Qur'an.","author":[{"dropping-particle":"","family":"Muthmainah","given":"Muthmainah","non-dropping-particle":"","parse-names":false,"suffix":""},{"dropping-particle":"","family":"Usman","given":"Abur Hamdi","non-dropping-particle":"","parse-names":false,"suffix":""}],"container-title":"Journal of Early Childhood Care and Education","id":"ITEM-1","issue":"1","issued":{"date-parts":[["2022"]]},"page":"27-44","title":"Family support for young Ḥāfiẓ Al-Qur’ān","type":"article-journal","volume":"5"},"uris":["http://www.mendeley.com/documents/?uuid=66d2ed25-6788-4be6-bfbd-042aa0707053"]}],"mendeley":{"formattedCitation":"(Muthmainah &amp; Usman, 2022)","manualFormatting":"Muthmainah &amp; Usman, 2022;","plainTextFormattedCitation":"(Muthmainah &amp; Usman, 2022)","previouslyFormattedCitation":"(Muthmainah &amp; Usman, 2022)"},"properties":{"noteIndex":0},"schema":"https://github.com/citation-style-language/schema/raw/master/csl-citation.json"}</w:instrText>
      </w:r>
      <w:r>
        <w:rPr>
          <w:rStyle w:val="FootnoteReference"/>
          <w:rFonts w:ascii="Calibri" w:eastAsia="Calibri" w:hAnsi="Calibri" w:cs="Calibri"/>
          <w:sz w:val="22"/>
          <w:szCs w:val="22"/>
          <w:lang w:val="en-ID"/>
        </w:rPr>
        <w:fldChar w:fldCharType="separate"/>
      </w:r>
      <w:r w:rsidRPr="007B3088">
        <w:rPr>
          <w:rFonts w:ascii="Calibri" w:eastAsia="Calibri" w:hAnsi="Calibri" w:cs="Calibri"/>
          <w:noProof/>
          <w:sz w:val="22"/>
          <w:szCs w:val="22"/>
          <w:lang w:val="en-ID"/>
        </w:rPr>
        <w:t>Muthmainah &amp; Usman, 2022</w:t>
      </w:r>
      <w:r>
        <w:rPr>
          <w:rFonts w:ascii="Calibri" w:eastAsia="Calibri" w:hAnsi="Calibri" w:cs="Calibri"/>
          <w:noProof/>
          <w:sz w:val="22"/>
          <w:szCs w:val="22"/>
          <w:lang w:val="en-ID"/>
        </w:rPr>
        <w:t>;</w:t>
      </w:r>
      <w:r>
        <w:rPr>
          <w:rStyle w:val="FootnoteReference"/>
          <w:rFonts w:ascii="Calibri" w:eastAsia="Calibri" w:hAnsi="Calibri" w:cs="Calibri"/>
          <w:sz w:val="22"/>
          <w:szCs w:val="22"/>
          <w:lang w:val="en-ID"/>
        </w:rPr>
        <w:fldChar w:fldCharType="end"/>
      </w:r>
      <w:r>
        <w:rPr>
          <w:rFonts w:ascii="Calibri" w:eastAsia="Calibri" w:hAnsi="Calibri" w:cs="Calibri"/>
          <w:sz w:val="22"/>
          <w:szCs w:val="22"/>
          <w:lang w:val="en-ID"/>
        </w:rPr>
        <w:t xml:space="preserve"> </w:t>
      </w:r>
      <w:r>
        <w:rPr>
          <w:rFonts w:ascii="Calibri" w:eastAsia="Calibri" w:hAnsi="Calibri" w:cs="Calibri"/>
          <w:sz w:val="22"/>
          <w:szCs w:val="22"/>
          <w:lang w:val="en-ID"/>
        </w:rPr>
        <w:fldChar w:fldCharType="begin" w:fldLock="1"/>
      </w:r>
      <w:r>
        <w:rPr>
          <w:rFonts w:ascii="Calibri" w:eastAsia="Calibri" w:hAnsi="Calibri" w:cs="Calibri"/>
          <w:sz w:val="22"/>
          <w:szCs w:val="22"/>
          <w:lang w:val="en-ID"/>
        </w:rPr>
        <w:instrText>ADDIN CSL_CITATION {"citationItems":[{"id":"ITEM-1","itemData":{"DOI":"10.31603/tarbiyatuna.v12i2.4996","ISSN":"2086-0889","abstract":"The motivation of learners to learn the Qur'an in this day and age is very low, learners at the time to learn the Qur'an choose television activities, play games and others, therefore motivation from parents is needed to minimize the activities of learners who are less useful. Previous studies show that external factors affect Islamic children's development and ability to read the Quran. Therefore, this study aimed to determine how parenting techniques and motivation influence children's ability to read the Quran. A quantitative approach with a sample population of 100 persons was used, while data was collected through questionnaires and examining the existing documents. The results showed that 1) Islamic parenting has a 78% contribution to the children's ability to read the Quran, 2) the motivation by parents affect the children's ability by 1.5%, 3) the combination of parent motivation and parenting techniques accounts for 79.5% of the effect, and 4) parenting style and motivation from parents simultaneously influence children's ability. Based on the description of existing data it can be concluded that parents have a fundamental role in providing motivation for learners to learn the Qur'an.","author":[{"dropping-particle":"","family":"Elvina","given":"Elvina","non-dropping-particle":"","parse-names":false,"suffix":""},{"dropping-particle":"","family":"Ritonga","given":"Mahyudin","non-dropping-particle":"","parse-names":false,"suffix":""},{"dropping-particle":"","family":"Lahmi","given":"Ahmad","non-dropping-particle":"","parse-names":false,"suffix":""}],"container-title":"Jurnal Tarbiyatuna","id":"ITEM-1","issue":"2","issued":{"date-parts":[["2021"]]},"page":"121-134","title":"Islamic Parenting and Motivation from Parents and Its Influence on Children's Ability to Read the Quran","type":"article-journal","volume":"12"},"uris":["http://www.mendeley.com/documents/?uuid=0b7daa45-afcd-4288-bef7-20ed56a34eca"]}],"mendeley":{"formattedCitation":"(Elvina et al., 2021)","manualFormatting":"Elvina et al., 2021;","plainTextFormattedCitation":"(Elvina et al., 2021)","previouslyFormattedCitation":"(Elvina et al., 2021)"},"properties":{"noteIndex":0},"schema":"https://github.com/citation-style-language/schema/raw/master/csl-citation.json"}</w:instrText>
      </w:r>
      <w:r>
        <w:rPr>
          <w:rFonts w:ascii="Calibri" w:eastAsia="Calibri" w:hAnsi="Calibri" w:cs="Calibri"/>
          <w:sz w:val="22"/>
          <w:szCs w:val="22"/>
          <w:lang w:val="en-ID"/>
        </w:rPr>
        <w:fldChar w:fldCharType="separate"/>
      </w:r>
      <w:r w:rsidRPr="007B3088">
        <w:rPr>
          <w:rFonts w:ascii="Calibri" w:eastAsia="Calibri" w:hAnsi="Calibri" w:cs="Calibri"/>
          <w:noProof/>
          <w:sz w:val="22"/>
          <w:szCs w:val="22"/>
          <w:lang w:val="en-ID"/>
        </w:rPr>
        <w:t>Elvina et al., 2021</w:t>
      </w:r>
      <w:r>
        <w:rPr>
          <w:rFonts w:ascii="Calibri" w:eastAsia="Calibri" w:hAnsi="Calibri" w:cs="Calibri"/>
          <w:noProof/>
          <w:sz w:val="22"/>
          <w:szCs w:val="22"/>
          <w:lang w:val="en-ID"/>
        </w:rPr>
        <w:t>;</w:t>
      </w:r>
      <w:r>
        <w:rPr>
          <w:rFonts w:ascii="Calibri" w:eastAsia="Calibri" w:hAnsi="Calibri" w:cs="Calibri"/>
          <w:sz w:val="22"/>
          <w:szCs w:val="22"/>
          <w:lang w:val="en-ID"/>
        </w:rPr>
        <w:fldChar w:fldCharType="end"/>
      </w:r>
      <w:r>
        <w:rPr>
          <w:rFonts w:ascii="Calibri" w:eastAsia="Calibri" w:hAnsi="Calibri" w:cs="Calibri"/>
          <w:sz w:val="22"/>
          <w:szCs w:val="22"/>
          <w:lang w:val="en-ID"/>
        </w:rPr>
        <w:t xml:space="preserve"> </w:t>
      </w:r>
      <w:r>
        <w:rPr>
          <w:rFonts w:ascii="Calibri" w:eastAsia="Calibri" w:hAnsi="Calibri" w:cs="Calibri"/>
          <w:sz w:val="22"/>
          <w:szCs w:val="22"/>
          <w:lang w:val="en-ID"/>
        </w:rPr>
        <w:fldChar w:fldCharType="begin" w:fldLock="1"/>
      </w:r>
      <w:r>
        <w:rPr>
          <w:rFonts w:ascii="Calibri" w:eastAsia="Calibri" w:hAnsi="Calibri" w:cs="Calibri"/>
          <w:sz w:val="22"/>
          <w:szCs w:val="22"/>
          <w:lang w:val="en-ID"/>
        </w:rPr>
        <w:instrText>ADDIN CSL_CITATION {"citationItems":[{"id":"ITEM-1","itemData":{"DOI":"10.22373/jm.v13i2.22103","ISSN":"2089-5127","abstract":"This study delves into the complex dynamics of Quranic recitation proficiency among students in the Islamic Educational Teacher Training Department at State Islamic University Ar-Raniry, Banda Aceh. Through surveys, interviews, and discussions, the research explores motivational factors, challenges faced, and the relationship between teaching methods and proficiency, and proposes strategies for enhancement. The findings emphasize the importance of understanding intrinsic and extrinsic motivations, addressing challenges hindering proficiency, and adopting interactive and culturally sensitive teaching methods. By integrating personalized learning approaches, teacher training programs, and community engagement initiatives, this study provides valuable insights for optimizing Quranic education, fostering motivation, and nurturing a deep connection with religious heritage.","author":[{"dropping-particle":"","family":"Munzir","given":"Munzir","non-dropping-particle":"","parse-names":false,"suffix":""}],"container-title":"Jurnal Mudarrisuna: Media Kajian Pendidikan Agama Islam","id":"ITEM-1","issue":"2","issued":{"date-parts":[["2023"]]},"page":"262","title":"Motivational Influences and Challenges in Quranic Recitation Proficiency: A Study Among Islamic Educational Teacher Training Department State Islamic University Ar-Raniry Banda Aceh Students","type":"article-journal","volume":"13"},"uris":["http://www.mendeley.com/documents/?uuid=8978ef2c-783b-4c9a-a34f-59e788472d4d"]}],"mendeley":{"formattedCitation":"(Munzir, 2023)","manualFormatting":"Munzir, 2023)","plainTextFormattedCitation":"(Munzir, 2023)","previouslyFormattedCitation":"(Munzir, 2023)"},"properties":{"noteIndex":0},"schema":"https://github.com/citation-style-language/schema/raw/master/csl-citation.json"}</w:instrText>
      </w:r>
      <w:r>
        <w:rPr>
          <w:rFonts w:ascii="Calibri" w:eastAsia="Calibri" w:hAnsi="Calibri" w:cs="Calibri"/>
          <w:sz w:val="22"/>
          <w:szCs w:val="22"/>
          <w:lang w:val="en-ID"/>
        </w:rPr>
        <w:fldChar w:fldCharType="separate"/>
      </w:r>
      <w:r w:rsidRPr="00843EE7">
        <w:rPr>
          <w:rFonts w:ascii="Calibri" w:eastAsia="Calibri" w:hAnsi="Calibri" w:cs="Calibri"/>
          <w:noProof/>
          <w:sz w:val="22"/>
          <w:szCs w:val="22"/>
          <w:lang w:val="en-ID"/>
        </w:rPr>
        <w:t>Munzir, 2023)</w:t>
      </w:r>
      <w:r>
        <w:rPr>
          <w:rFonts w:ascii="Calibri" w:eastAsia="Calibri" w:hAnsi="Calibri" w:cs="Calibri"/>
          <w:sz w:val="22"/>
          <w:szCs w:val="22"/>
          <w:lang w:val="en-ID"/>
        </w:rPr>
        <w:fldChar w:fldCharType="end"/>
      </w:r>
    </w:p>
    <w:p w14:paraId="37A5856D" w14:textId="64354259" w:rsidR="003B560C" w:rsidRDefault="003B560C" w:rsidP="003B560C">
      <w:pPr>
        <w:ind w:firstLine="426"/>
        <w:jc w:val="both"/>
        <w:rPr>
          <w:rFonts w:ascii="Calibri" w:eastAsia="Calibri" w:hAnsi="Calibri" w:cs="Calibri"/>
          <w:sz w:val="22"/>
          <w:szCs w:val="22"/>
          <w:lang w:val="en-ID"/>
        </w:rPr>
      </w:pPr>
      <w:r w:rsidRPr="00843EE7">
        <w:rPr>
          <w:rFonts w:ascii="Calibri" w:eastAsia="Calibri" w:hAnsi="Calibri" w:cs="Calibri"/>
          <w:sz w:val="22"/>
          <w:szCs w:val="22"/>
          <w:lang w:val="en-ID"/>
        </w:rPr>
        <w:t xml:space="preserve">Learning motivation has been proven to be one of the key factors. Research by </w:t>
      </w:r>
      <w:r>
        <w:rPr>
          <w:rFonts w:ascii="Calibri" w:eastAsia="Calibri" w:hAnsi="Calibri" w:cs="Calibri"/>
          <w:sz w:val="22"/>
          <w:szCs w:val="22"/>
          <w:lang w:val="en-ID"/>
        </w:rPr>
        <w:fldChar w:fldCharType="begin" w:fldLock="1"/>
      </w:r>
      <w:r>
        <w:rPr>
          <w:rFonts w:ascii="Calibri" w:eastAsia="Calibri" w:hAnsi="Calibri" w:cs="Calibri"/>
          <w:sz w:val="22"/>
          <w:szCs w:val="22"/>
          <w:lang w:val="en-ID"/>
        </w:rPr>
        <w:instrText>ADDIN CSL_CITATION {"citationItems":[{"id":"ITEM-1","itemData":{"DOI":"https://doi.org/10.31004/joe.v6i4.6413","author":[{"dropping-particle":"","family":"Kahfi","given":"Nazih Sadatul","non-dropping-particle":"","parse-names":false,"suffix":""},{"dropping-particle":"","family":"Raharjo","given":"Raharjo","non-dropping-particle":"","parse-names":false,"suffix":""},{"dropping-particle":"","family":"Ikhrom","given":"Ikhrom","non-dropping-particle":"","parse-names":false,"suffix":""}],"container-title":"Journal on Education","id":"ITEM-1","issue":"4","issued":{"date-parts":[["2024"]]},"page":"22416-22423","title":"The Effect of Qiroati and Non Qiroati Methods in Improving Students ' Ability to Read and Write the Qur ' an at TPQ Al-Ikhlas","type":"article-journal","volume":"6"},"uris":["http://www.mendeley.com/documents/?uuid=5fe7e3c2-c6c1-451d-8c1d-295a56c38d38"]}],"mendeley":{"formattedCitation":"(Kahfi et al., 2024)","manualFormatting":"Kahfi et al. (2024)","plainTextFormattedCitation":"(Kahfi et al., 2024)","previouslyFormattedCitation":"(Kahfi et al., 2024)"},"properties":{"noteIndex":0},"schema":"https://github.com/citation-style-language/schema/raw/master/csl-citation.json"}</w:instrText>
      </w:r>
      <w:r>
        <w:rPr>
          <w:rFonts w:ascii="Calibri" w:eastAsia="Calibri" w:hAnsi="Calibri" w:cs="Calibri"/>
          <w:sz w:val="22"/>
          <w:szCs w:val="22"/>
          <w:lang w:val="en-ID"/>
        </w:rPr>
        <w:fldChar w:fldCharType="separate"/>
      </w:r>
      <w:r w:rsidRPr="00843EE7">
        <w:rPr>
          <w:rFonts w:ascii="Calibri" w:eastAsia="Calibri" w:hAnsi="Calibri" w:cs="Calibri"/>
          <w:noProof/>
          <w:sz w:val="22"/>
          <w:szCs w:val="22"/>
          <w:lang w:val="en-ID"/>
        </w:rPr>
        <w:t xml:space="preserve">Kahfi et al. </w:t>
      </w:r>
      <w:r>
        <w:rPr>
          <w:rFonts w:ascii="Calibri" w:eastAsia="Calibri" w:hAnsi="Calibri" w:cs="Calibri"/>
          <w:noProof/>
          <w:sz w:val="22"/>
          <w:szCs w:val="22"/>
          <w:lang w:val="en-ID"/>
        </w:rPr>
        <w:t>(</w:t>
      </w:r>
      <w:r w:rsidRPr="00843EE7">
        <w:rPr>
          <w:rFonts w:ascii="Calibri" w:eastAsia="Calibri" w:hAnsi="Calibri" w:cs="Calibri"/>
          <w:noProof/>
          <w:sz w:val="22"/>
          <w:szCs w:val="22"/>
          <w:lang w:val="en-ID"/>
        </w:rPr>
        <w:t>2024)</w:t>
      </w:r>
      <w:r>
        <w:rPr>
          <w:rFonts w:ascii="Calibri" w:eastAsia="Calibri" w:hAnsi="Calibri" w:cs="Calibri"/>
          <w:sz w:val="22"/>
          <w:szCs w:val="22"/>
          <w:lang w:val="en-ID"/>
        </w:rPr>
        <w:fldChar w:fldCharType="end"/>
      </w:r>
      <w:r w:rsidRPr="0076111D">
        <w:rPr>
          <w:rFonts w:ascii="Calibri" w:eastAsia="Calibri" w:hAnsi="Calibri" w:cs="Calibri"/>
          <w:sz w:val="22"/>
          <w:szCs w:val="22"/>
          <w:lang w:val="en-ID"/>
        </w:rPr>
        <w:t xml:space="preserve"> emphasizes that learning motivation does indeed have a significant effect on the ability to read the Qur'an, but its contribution is still low. Therefore, support from families and schools is essential so that students practice reading the Qur'an more often, thereby improving their mastery of tajwid and fluency in reading</w:t>
      </w:r>
      <w:r>
        <w:rPr>
          <w:rFonts w:ascii="Calibri" w:eastAsia="Calibri" w:hAnsi="Calibri" w:cs="Calibri"/>
          <w:sz w:val="22"/>
          <w:szCs w:val="22"/>
          <w:lang w:val="en-ID"/>
        </w:rPr>
        <w:t xml:space="preserve"> s</w:t>
      </w:r>
      <w:r w:rsidRPr="0076111D">
        <w:rPr>
          <w:rFonts w:ascii="Calibri" w:eastAsia="Calibri" w:hAnsi="Calibri" w:cs="Calibri"/>
          <w:sz w:val="22"/>
          <w:szCs w:val="22"/>
          <w:lang w:val="en-ID"/>
        </w:rPr>
        <w:t>tudents with low motivation tend to practice infrequently and have poor reading skills.</w:t>
      </w:r>
      <w:r>
        <w:rPr>
          <w:rFonts w:ascii="Calibri" w:eastAsia="Calibri" w:hAnsi="Calibri" w:cs="Calibri"/>
          <w:sz w:val="22"/>
          <w:szCs w:val="22"/>
          <w:lang w:val="en-ID"/>
        </w:rPr>
        <w:t xml:space="preserve"> </w:t>
      </w:r>
      <w:r w:rsidRPr="002237A4">
        <w:rPr>
          <w:rFonts w:ascii="Calibri" w:eastAsia="Calibri" w:hAnsi="Calibri" w:cs="Calibri"/>
          <w:sz w:val="22"/>
          <w:szCs w:val="22"/>
          <w:lang w:val="en-ID"/>
        </w:rPr>
        <w:t xml:space="preserve">In addition to the above research, </w:t>
      </w:r>
      <w:r>
        <w:rPr>
          <w:rFonts w:ascii="Calibri" w:eastAsia="Calibri" w:hAnsi="Calibri" w:cs="Calibri"/>
          <w:sz w:val="22"/>
          <w:szCs w:val="22"/>
          <w:lang w:val="en-ID"/>
        </w:rPr>
        <w:fldChar w:fldCharType="begin" w:fldLock="1"/>
      </w:r>
      <w:r>
        <w:rPr>
          <w:rFonts w:ascii="Calibri" w:eastAsia="Calibri" w:hAnsi="Calibri" w:cs="Calibri"/>
          <w:sz w:val="22"/>
          <w:szCs w:val="22"/>
          <w:lang w:val="en-ID"/>
        </w:rPr>
        <w:instrText>ADDIN CSL_CITATION {"citationItems":[{"id":"ITEM-1","itemData":{"DOI":"https://doi.org/10.53802/fitrah.v6i1.1135","author":[{"dropping-particle":"","family":"Tazkirah","given":"Siti","non-dropping-particle":"","parse-names":false,"suffix":""},{"dropping-particle":"","family":"Ilham","given":"Ilham","non-dropping-particle":"","parse-names":false,"suffix":""},{"dropping-particle":"","family":"Nasaruddin","given":"Nasaruddin","non-dropping-particle":"","parse-names":false,"suffix":""}],"container-title":"Fitrah: Journal of Islamic Education","id":"ITEM-1","issue":"1","issued":{"date-parts":[["2025"]]},"page":"35-48","title":"STRATEGY FOR DEVELOPING TEACHER COMPETENCE IN QUR ' ANIC EDUCATION GARDEN IN THE MODERN ERA : Analysis of Understanding of Tajweed At-Tadzkir Teaching Content","type":"article-journal","volume":"6"},"uris":["http://www.mendeley.com/documents/?uuid=958ebd49-40cb-4a2f-ae86-c91214bccf86"]}],"mendeley":{"formattedCitation":"(Tazkirah et al., 2025)","manualFormatting":"Tazkirah et al. (2025)","plainTextFormattedCitation":"(Tazkirah et al., 2025)","previouslyFormattedCitation":"(Tazkirah et al., 2025)"},"properties":{"noteIndex":0},"schema":"https://github.com/citation-style-language/schema/raw/master/csl-citation.json"}</w:instrText>
      </w:r>
      <w:r>
        <w:rPr>
          <w:rFonts w:ascii="Calibri" w:eastAsia="Calibri" w:hAnsi="Calibri" w:cs="Calibri"/>
          <w:sz w:val="22"/>
          <w:szCs w:val="22"/>
          <w:lang w:val="en-ID"/>
        </w:rPr>
        <w:fldChar w:fldCharType="separate"/>
      </w:r>
      <w:r w:rsidRPr="005C5BFE">
        <w:rPr>
          <w:rFonts w:ascii="Calibri" w:eastAsia="Calibri" w:hAnsi="Calibri" w:cs="Calibri"/>
          <w:noProof/>
          <w:sz w:val="22"/>
          <w:szCs w:val="22"/>
          <w:lang w:val="en-ID"/>
        </w:rPr>
        <w:t xml:space="preserve">Tazkirah et al. </w:t>
      </w:r>
      <w:r>
        <w:rPr>
          <w:rFonts w:ascii="Calibri" w:eastAsia="Calibri" w:hAnsi="Calibri" w:cs="Calibri"/>
          <w:noProof/>
          <w:sz w:val="22"/>
          <w:szCs w:val="22"/>
          <w:lang w:val="en-ID"/>
        </w:rPr>
        <w:t>(</w:t>
      </w:r>
      <w:r w:rsidRPr="005C5BFE">
        <w:rPr>
          <w:rFonts w:ascii="Calibri" w:eastAsia="Calibri" w:hAnsi="Calibri" w:cs="Calibri"/>
          <w:noProof/>
          <w:sz w:val="22"/>
          <w:szCs w:val="22"/>
          <w:lang w:val="en-ID"/>
        </w:rPr>
        <w:t>2025)</w:t>
      </w:r>
      <w:r>
        <w:rPr>
          <w:rFonts w:ascii="Calibri" w:eastAsia="Calibri" w:hAnsi="Calibri" w:cs="Calibri"/>
          <w:sz w:val="22"/>
          <w:szCs w:val="22"/>
          <w:lang w:val="en-ID"/>
        </w:rPr>
        <w:fldChar w:fldCharType="end"/>
      </w:r>
      <w:r>
        <w:rPr>
          <w:rFonts w:ascii="Calibri" w:eastAsia="Calibri" w:hAnsi="Calibri" w:cs="Calibri"/>
          <w:sz w:val="22"/>
          <w:szCs w:val="22"/>
          <w:lang w:val="en-ID"/>
        </w:rPr>
        <w:t xml:space="preserve"> </w:t>
      </w:r>
      <w:r w:rsidRPr="005C5BFE">
        <w:rPr>
          <w:rFonts w:ascii="Calibri" w:eastAsia="Calibri" w:hAnsi="Calibri" w:cs="Calibri"/>
          <w:sz w:val="22"/>
          <w:szCs w:val="22"/>
          <w:lang w:val="en-ID"/>
        </w:rPr>
        <w:t>In his research, he argues that teachers' competence in understanding and teaching tajwid does indeed have a significant influence on the quality of Al-Qur'an education, but its contribution is still limited without adequate support. Therefore, institutional support, structured training, and adequate learning resources are crucial for teachers to continuously improve their tajwid skills and teaching strategies, thereby enhancing students' mastery of tajwid and overall Quran reading ability. Teachers with limited competencies and support often face challenges in delivering effective tajwid instruction, which can hinder students' learning outcomes.</w:t>
      </w:r>
    </w:p>
    <w:p w14:paraId="68C9BB01" w14:textId="744709A7" w:rsidR="003B560C" w:rsidRDefault="003B560C" w:rsidP="003B560C">
      <w:pPr>
        <w:ind w:firstLine="426"/>
        <w:jc w:val="both"/>
        <w:rPr>
          <w:rFonts w:ascii="Calibri" w:eastAsia="Calibri" w:hAnsi="Calibri" w:cs="Calibri"/>
          <w:sz w:val="22"/>
          <w:szCs w:val="22"/>
          <w:lang w:val="en-ID"/>
        </w:rPr>
      </w:pPr>
      <w:r w:rsidRPr="00D97C06">
        <w:rPr>
          <w:rFonts w:ascii="Calibri" w:eastAsia="Calibri" w:hAnsi="Calibri" w:cs="Calibri"/>
          <w:sz w:val="22"/>
          <w:szCs w:val="22"/>
          <w:lang w:val="en-ID"/>
        </w:rPr>
        <w:t>Family support is also an important factor. The results of this study found that most parents are unable to guide their children in reading the Qur'an, either due to limited abilities or time constraints. Research by</w:t>
      </w:r>
      <w:r>
        <w:rPr>
          <w:rFonts w:ascii="Calibri" w:eastAsia="Calibri" w:hAnsi="Calibri" w:cs="Calibri"/>
          <w:sz w:val="22"/>
          <w:szCs w:val="22"/>
          <w:lang w:val="en-ID"/>
        </w:rPr>
        <w:t xml:space="preserve"> </w:t>
      </w:r>
      <w:r>
        <w:rPr>
          <w:rFonts w:ascii="Calibri" w:eastAsia="Calibri" w:hAnsi="Calibri" w:cs="Calibri"/>
          <w:sz w:val="22"/>
          <w:szCs w:val="22"/>
          <w:lang w:val="en-ID"/>
        </w:rPr>
        <w:fldChar w:fldCharType="begin" w:fldLock="1"/>
      </w:r>
      <w:r>
        <w:rPr>
          <w:rFonts w:ascii="Calibri" w:eastAsia="Calibri" w:hAnsi="Calibri" w:cs="Calibri"/>
          <w:sz w:val="22"/>
          <w:szCs w:val="22"/>
          <w:lang w:val="en-ID"/>
        </w:rPr>
        <w:instrText>ADDIN CSL_CITATION {"citationItems":[{"id":"ITEM-1","itemData":{"DOI":"10.35445/alishlah.v16i4.5763","author":[{"dropping-particle":"","family":"Azwar","given":"Beni","non-dropping-particle":"","parse-names":false,"suffix":""}],"container-title":"Al-Ishlah: Jurnal Pendidikan","id":"ITEM-1","issue":"4","issued":{"date-parts":[["2024"]]},"page":"5243-5253","title":"Collaborative Efforts of Counseling Teachers in Enhancing Self- Happiness Among Qur ' an- Memorizing Students : A Case Study","type":"article-journal","volume":"16"},"uris":["http://www.mendeley.com/documents/?uuid=44cbb02d-0b35-4f90-acda-6d1231551471"]}],"mendeley":{"formattedCitation":"(Azwar, 2024)","manualFormatting":"Azwar (2024)","plainTextFormattedCitation":"(Azwar, 2024)","previouslyFormattedCitation":"(Azwar, 2024)"},"properties":{"noteIndex":0},"schema":"https://github.com/citation-style-language/schema/raw/master/csl-citation.json"}</w:instrText>
      </w:r>
      <w:r>
        <w:rPr>
          <w:rFonts w:ascii="Calibri" w:eastAsia="Calibri" w:hAnsi="Calibri" w:cs="Calibri"/>
          <w:sz w:val="22"/>
          <w:szCs w:val="22"/>
          <w:lang w:val="en-ID"/>
        </w:rPr>
        <w:fldChar w:fldCharType="separate"/>
      </w:r>
      <w:r w:rsidRPr="00604A85">
        <w:rPr>
          <w:rFonts w:ascii="Calibri" w:eastAsia="Calibri" w:hAnsi="Calibri" w:cs="Calibri"/>
          <w:noProof/>
          <w:sz w:val="22"/>
          <w:szCs w:val="22"/>
          <w:lang w:val="en-ID"/>
        </w:rPr>
        <w:t xml:space="preserve">Azwar </w:t>
      </w:r>
      <w:r>
        <w:rPr>
          <w:rFonts w:ascii="Calibri" w:eastAsia="Calibri" w:hAnsi="Calibri" w:cs="Calibri"/>
          <w:noProof/>
          <w:sz w:val="22"/>
          <w:szCs w:val="22"/>
          <w:lang w:val="en-ID"/>
        </w:rPr>
        <w:t>(</w:t>
      </w:r>
      <w:r w:rsidRPr="00604A85">
        <w:rPr>
          <w:rFonts w:ascii="Calibri" w:eastAsia="Calibri" w:hAnsi="Calibri" w:cs="Calibri"/>
          <w:noProof/>
          <w:sz w:val="22"/>
          <w:szCs w:val="22"/>
          <w:lang w:val="en-ID"/>
        </w:rPr>
        <w:t>2024)</w:t>
      </w:r>
      <w:r>
        <w:rPr>
          <w:rFonts w:ascii="Calibri" w:eastAsia="Calibri" w:hAnsi="Calibri" w:cs="Calibri"/>
          <w:sz w:val="22"/>
          <w:szCs w:val="22"/>
          <w:lang w:val="en-ID"/>
        </w:rPr>
        <w:fldChar w:fldCharType="end"/>
      </w:r>
      <w:r>
        <w:rPr>
          <w:rFonts w:ascii="Calibri" w:eastAsia="Calibri" w:hAnsi="Calibri" w:cs="Calibri"/>
          <w:sz w:val="22"/>
          <w:szCs w:val="22"/>
          <w:lang w:val="en-ID"/>
        </w:rPr>
        <w:t xml:space="preserve"> and</w:t>
      </w:r>
      <w:r w:rsidRPr="00D97C06">
        <w:rPr>
          <w:rFonts w:ascii="Calibri" w:eastAsia="Calibri" w:hAnsi="Calibri" w:cs="Calibri"/>
          <w:sz w:val="22"/>
          <w:szCs w:val="22"/>
          <w:lang w:val="en-ID"/>
        </w:rPr>
        <w:t xml:space="preserve"> </w:t>
      </w:r>
      <w:r>
        <w:rPr>
          <w:rFonts w:ascii="Calibri" w:eastAsia="Calibri" w:hAnsi="Calibri" w:cs="Calibri"/>
          <w:sz w:val="22"/>
          <w:szCs w:val="22"/>
          <w:lang w:val="en-ID"/>
        </w:rPr>
        <w:fldChar w:fldCharType="begin" w:fldLock="1"/>
      </w:r>
      <w:r>
        <w:rPr>
          <w:rFonts w:ascii="Calibri" w:eastAsia="Calibri" w:hAnsi="Calibri" w:cs="Calibri"/>
          <w:sz w:val="22"/>
          <w:szCs w:val="22"/>
          <w:lang w:val="en-ID"/>
        </w:rPr>
        <w:instrText>ADDIN CSL_CITATION {"citationItems":[{"id":"ITEM-1","itemData":{"DOI":"http://dx.doi.org/10.32806/jf.v14i2.611","author":[{"dropping-particle":"","family":"Hanafi","given":"Muhammad","non-dropping-particle":"","parse-names":false,"suffix":""},{"dropping-particle":"","family":"Pohan","given":"Selamat","non-dropping-particle":"","parse-names":false,"suffix":""}],"container-title":"FIKROTUNA; Jurnal Pendidikan dan Manajemen Islam","id":"ITEM-1","issue":"2","issued":{"date-parts":[["2024"]]},"page":"189-202","title":"Enhancing Quranic Literacy : The Role Teacher and Parental Involvement in Quran Learning","type":"article-journal","volume":"14"},"uris":["http://www.mendeley.com/documents/?uuid=fbe62bdc-c742-4843-b500-89abb91514f1"]}],"mendeley":{"formattedCitation":"(M. Hanafi &amp; Pohan, 2024)","manualFormatting":"Hanafi &amp; Pohan (2024)","plainTextFormattedCitation":"(M. Hanafi &amp; Pohan, 2024)","previouslyFormattedCitation":"(M. Hanafi &amp; Pohan, 2024)"},"properties":{"noteIndex":0},"schema":"https://github.com/citation-style-language/schema/raw/master/csl-citation.json"}</w:instrText>
      </w:r>
      <w:r>
        <w:rPr>
          <w:rFonts w:ascii="Calibri" w:eastAsia="Calibri" w:hAnsi="Calibri" w:cs="Calibri"/>
          <w:sz w:val="22"/>
          <w:szCs w:val="22"/>
          <w:lang w:val="en-ID"/>
        </w:rPr>
        <w:fldChar w:fldCharType="separate"/>
      </w:r>
      <w:r w:rsidRPr="00D85921">
        <w:rPr>
          <w:rFonts w:ascii="Calibri" w:eastAsia="Calibri" w:hAnsi="Calibri" w:cs="Calibri"/>
          <w:noProof/>
          <w:sz w:val="22"/>
          <w:szCs w:val="22"/>
          <w:lang w:val="en-ID"/>
        </w:rPr>
        <w:t xml:space="preserve">Hanafi &amp; Pohan </w:t>
      </w:r>
      <w:r>
        <w:rPr>
          <w:rFonts w:ascii="Calibri" w:eastAsia="Calibri" w:hAnsi="Calibri" w:cs="Calibri"/>
          <w:noProof/>
          <w:sz w:val="22"/>
          <w:szCs w:val="22"/>
          <w:lang w:val="en-ID"/>
        </w:rPr>
        <w:t>(</w:t>
      </w:r>
      <w:r w:rsidRPr="00D85921">
        <w:rPr>
          <w:rFonts w:ascii="Calibri" w:eastAsia="Calibri" w:hAnsi="Calibri" w:cs="Calibri"/>
          <w:noProof/>
          <w:sz w:val="22"/>
          <w:szCs w:val="22"/>
          <w:lang w:val="en-ID"/>
        </w:rPr>
        <w:t>2024)</w:t>
      </w:r>
      <w:r>
        <w:rPr>
          <w:rFonts w:ascii="Calibri" w:eastAsia="Calibri" w:hAnsi="Calibri" w:cs="Calibri"/>
          <w:sz w:val="22"/>
          <w:szCs w:val="22"/>
          <w:lang w:val="en-ID"/>
        </w:rPr>
        <w:fldChar w:fldCharType="end"/>
      </w:r>
      <w:r>
        <w:rPr>
          <w:rFonts w:ascii="Calibri" w:eastAsia="Calibri" w:hAnsi="Calibri" w:cs="Calibri"/>
          <w:sz w:val="22"/>
          <w:szCs w:val="22"/>
          <w:lang w:val="en-ID"/>
        </w:rPr>
        <w:t xml:space="preserve"> </w:t>
      </w:r>
      <w:r w:rsidRPr="00D97C06">
        <w:rPr>
          <w:rFonts w:ascii="Calibri" w:eastAsia="Calibri" w:hAnsi="Calibri" w:cs="Calibri"/>
          <w:sz w:val="22"/>
          <w:szCs w:val="22"/>
          <w:lang w:val="en-ID"/>
        </w:rPr>
        <w:t>show that a supportive family environment, parental involvement, and a routine of reading the Quran together can significantly improve children's ability to read the Quran. Conversely, a lack of attention and guidance from the family has a negative impact on the development of students' ability to read the Quran.</w:t>
      </w:r>
    </w:p>
    <w:p w14:paraId="1A45ACC7" w14:textId="32594DBE" w:rsidR="003B560C" w:rsidRDefault="003B560C" w:rsidP="003B560C">
      <w:pPr>
        <w:ind w:firstLine="426"/>
        <w:jc w:val="both"/>
        <w:rPr>
          <w:rFonts w:ascii="Calibri" w:eastAsia="Calibri" w:hAnsi="Calibri" w:cs="Calibri"/>
          <w:sz w:val="22"/>
          <w:szCs w:val="22"/>
          <w:lang w:val="en-ID"/>
        </w:rPr>
      </w:pPr>
      <w:r w:rsidRPr="00D97C06">
        <w:rPr>
          <w:rFonts w:ascii="Calibri" w:eastAsia="Calibri" w:hAnsi="Calibri" w:cs="Calibri"/>
          <w:sz w:val="22"/>
          <w:szCs w:val="22"/>
          <w:lang w:val="en-ID"/>
        </w:rPr>
        <w:t>The social environment also has a significant influence. Research by</w:t>
      </w:r>
      <w:r>
        <w:rPr>
          <w:rFonts w:ascii="Calibri" w:eastAsia="Calibri" w:hAnsi="Calibri" w:cs="Calibri"/>
          <w:sz w:val="22"/>
          <w:szCs w:val="22"/>
          <w:lang w:val="en-ID"/>
        </w:rPr>
        <w:t xml:space="preserve"> </w:t>
      </w:r>
      <w:r>
        <w:rPr>
          <w:rFonts w:ascii="Calibri" w:eastAsia="Calibri" w:hAnsi="Calibri" w:cs="Calibri"/>
          <w:sz w:val="22"/>
          <w:szCs w:val="22"/>
          <w:lang w:val="en-ID"/>
        </w:rPr>
        <w:fldChar w:fldCharType="begin" w:fldLock="1"/>
      </w:r>
      <w:r>
        <w:rPr>
          <w:rFonts w:ascii="Calibri" w:eastAsia="Calibri" w:hAnsi="Calibri" w:cs="Calibri"/>
          <w:sz w:val="22"/>
          <w:szCs w:val="22"/>
          <w:lang w:val="en-ID"/>
        </w:rPr>
        <w:instrText>ADDIN CSL_CITATION {"citationItems":[{"id":"ITEM-1","itemData":{"DOI":"10.24252/al-daulah.","author":[{"dropping-particle":"","family":"Gaya","given":"Shahbaz","non-dropping-particle":"","parse-names":false,"suffix":""},{"dropping-particle":"","family":"Ahmad","given":"Nadzrah","non-dropping-particle":"","parse-names":false,"suffix":""}],"container-title":"Jurnal Hukum Pidana dan Ketatanegaraan","id":"ITEM-1","issue":"1","issued":{"date-parts":[["2024"]]},"page":"34-49","title":"The Concept of Islamic Identity and Its Importance for Muslim Youth","type":"article-journal","volume":"13"},"uris":["http://www.mendeley.com/documents/?uuid=19f21679-80e1-491c-9bf6-b0382670fdf3"]}],"mendeley":{"formattedCitation":"(Gaya &amp; Ahmad, 2024)","manualFormatting":"Gaya &amp; Ahmad (2024)","plainTextFormattedCitation":"(Gaya &amp; Ahmad, 2024)","previouslyFormattedCitation":"(Gaya &amp; Ahmad, 2024)"},"properties":{"noteIndex":0},"schema":"https://github.com/citation-style-language/schema/raw/master/csl-citation.json"}</w:instrText>
      </w:r>
      <w:r>
        <w:rPr>
          <w:rFonts w:ascii="Calibri" w:eastAsia="Calibri" w:hAnsi="Calibri" w:cs="Calibri"/>
          <w:sz w:val="22"/>
          <w:szCs w:val="22"/>
          <w:lang w:val="en-ID"/>
        </w:rPr>
        <w:fldChar w:fldCharType="separate"/>
      </w:r>
      <w:r w:rsidRPr="00781975">
        <w:rPr>
          <w:rFonts w:ascii="Calibri" w:eastAsia="Calibri" w:hAnsi="Calibri" w:cs="Calibri"/>
          <w:noProof/>
          <w:sz w:val="22"/>
          <w:szCs w:val="22"/>
          <w:lang w:val="en-ID"/>
        </w:rPr>
        <w:t xml:space="preserve">Gaya &amp; Ahmad </w:t>
      </w:r>
      <w:r>
        <w:rPr>
          <w:rFonts w:ascii="Calibri" w:eastAsia="Calibri" w:hAnsi="Calibri" w:cs="Calibri"/>
          <w:noProof/>
          <w:sz w:val="22"/>
          <w:szCs w:val="22"/>
          <w:lang w:val="en-ID"/>
        </w:rPr>
        <w:t>(</w:t>
      </w:r>
      <w:r w:rsidRPr="00781975">
        <w:rPr>
          <w:rFonts w:ascii="Calibri" w:eastAsia="Calibri" w:hAnsi="Calibri" w:cs="Calibri"/>
          <w:noProof/>
          <w:sz w:val="22"/>
          <w:szCs w:val="22"/>
          <w:lang w:val="en-ID"/>
        </w:rPr>
        <w:t>2024)</w:t>
      </w:r>
      <w:r>
        <w:rPr>
          <w:rFonts w:ascii="Calibri" w:eastAsia="Calibri" w:hAnsi="Calibri" w:cs="Calibri"/>
          <w:sz w:val="22"/>
          <w:szCs w:val="22"/>
          <w:lang w:val="en-ID"/>
        </w:rPr>
        <w:fldChar w:fldCharType="end"/>
      </w:r>
      <w:r w:rsidRPr="00781975">
        <w:rPr>
          <w:rFonts w:ascii="Calibri" w:eastAsia="Calibri" w:hAnsi="Calibri" w:cs="Calibri"/>
          <w:sz w:val="22"/>
          <w:szCs w:val="22"/>
          <w:lang w:val="en-ID"/>
        </w:rPr>
        <w:t xml:space="preserve"> shows that Muslim youth who are in supportive environments, such as peers who share and practice Islamic values, tend to have a stronger sense of Islamic identity and are more resilient in the face of external pressures such as peer pressure, materialism, and Islamophobia. Conversely, those in less supportive environments may face greater challenges in maintaining their religious identity, which can lead to weakened beliefs or engagement in behaviors contrary to Islamic teachings. These findings emphasize that the social context plays a substantial role in shaping and maintaining the Islamic identity of Muslim youth, serving as a foundation that helps them navigate contemporary challenges</w:t>
      </w:r>
    </w:p>
    <w:p w14:paraId="2E91CE29" w14:textId="2B90B948" w:rsidR="003B560C" w:rsidRDefault="003B560C" w:rsidP="003B560C">
      <w:pPr>
        <w:ind w:firstLine="426"/>
        <w:jc w:val="both"/>
        <w:rPr>
          <w:rFonts w:ascii="Calibri" w:eastAsia="Calibri" w:hAnsi="Calibri" w:cs="Calibri"/>
          <w:sz w:val="22"/>
          <w:szCs w:val="22"/>
          <w:lang w:val="en-ID"/>
        </w:rPr>
      </w:pPr>
      <w:r w:rsidRPr="00D97C06">
        <w:rPr>
          <w:rFonts w:ascii="Calibri" w:eastAsia="Calibri" w:hAnsi="Calibri" w:cs="Calibri"/>
          <w:sz w:val="22"/>
          <w:szCs w:val="22"/>
          <w:lang w:val="en-ID"/>
        </w:rPr>
        <w:t xml:space="preserve">In addition, limitations in learning facilities, such as the absence of Al-Qur'an manuscripts at home, also pose obstacles, as found in this study. </w:t>
      </w:r>
      <w:r>
        <w:rPr>
          <w:rFonts w:ascii="Calibri" w:eastAsia="Calibri" w:hAnsi="Calibri" w:cs="Calibri"/>
          <w:sz w:val="22"/>
          <w:szCs w:val="22"/>
          <w:lang w:val="en-ID"/>
        </w:rPr>
        <w:fldChar w:fldCharType="begin" w:fldLock="1"/>
      </w:r>
      <w:r>
        <w:rPr>
          <w:rFonts w:ascii="Calibri" w:eastAsia="Calibri" w:hAnsi="Calibri" w:cs="Calibri"/>
          <w:sz w:val="22"/>
          <w:szCs w:val="22"/>
          <w:lang w:val="en-ID"/>
        </w:rPr>
        <w:instrText>ADDIN CSL_CITATION {"citationItems":[{"id":"ITEM-1","itemData":{"DOI":"10.24036/ijmurhica.v4i1.152","ISSN":"2623-1468","abstract":"This study aims to analyze the problems of teachers and students in learning the Qur'an. This study uses a qualitative method with a case study approach, data sources were taken from forty-two informants through in-depth interviews who were selected using a purposive sampling technique. All interview results were then analyzed thematically using Interactive Miles &amp; Huberman's qualitative data analysis. The findings show that there are twelve findings of teacher and student problems in learning the Qur'an. Related to teacher problems include; i) lack of recitation and training activities for Al-Qur'an teachers, ii) lack of competency of the Qur'an teachers, iii) difficulty managing time, iv) class capacity of students, v) differences in student backgrounds, vi) organizing and conditioning students in class, vii) the lack of welfare of the teacher's Qur'an. Related to student problems; i) the level of student focus or concentration in learning, ii) lack of student discipline, iii) lack of student enthusiasm in learning. The research also found problems related to facilities and infrastructure, namely; i) lack of availability of the Qur'an, ii) lack of tables for the Qur'an.","author":[{"dropping-particle":"","family":"Nisa","given":"Fadhila Khairatun","non-dropping-particle":"","parse-names":false,"suffix":""},{"dropping-particle":"","family":"Rido","given":"Muhammad Ali","non-dropping-particle":"","parse-names":false,"suffix":""},{"dropping-particle":"","family":"Izharman","given":"Izharman","non-dropping-particle":"","parse-names":false,"suffix":""},{"dropping-particle":"","family":"Susanti","given":"Weti","non-dropping-particle":"","parse-names":false,"suffix":""}],"container-title":"International Journal of Multidisciplinary Research of Higher Education","id":"ITEM-1","issue":"1","issued":{"date-parts":[["2021"]]},"page":"1-11","title":"Problems of Teachers and Santri in Learning the Qur’an","type":"article-journal","volume":"1"},"uris":["http://www.mendeley.com/documents/?uuid=24b5e5b0-6924-4e6b-b62a-798f7eaa0526"]}],"mendeley":{"formattedCitation":"(Nisa et al., 2021)","manualFormatting":"Nisa et al. (2021)","plainTextFormattedCitation":"(Nisa et al., 2021)","previouslyFormattedCitation":"(Nisa et al., 2021)"},"properties":{"noteIndex":0},"schema":"https://github.com/citation-style-language/schema/raw/master/csl-citation.json"}</w:instrText>
      </w:r>
      <w:r>
        <w:rPr>
          <w:rFonts w:ascii="Calibri" w:eastAsia="Calibri" w:hAnsi="Calibri" w:cs="Calibri"/>
          <w:sz w:val="22"/>
          <w:szCs w:val="22"/>
          <w:lang w:val="en-ID"/>
        </w:rPr>
        <w:fldChar w:fldCharType="separate"/>
      </w:r>
      <w:r w:rsidRPr="003229B5">
        <w:rPr>
          <w:rFonts w:ascii="Calibri" w:eastAsia="Calibri" w:hAnsi="Calibri" w:cs="Calibri"/>
          <w:noProof/>
          <w:sz w:val="22"/>
          <w:szCs w:val="22"/>
          <w:lang w:val="en-ID"/>
        </w:rPr>
        <w:t xml:space="preserve">Nisa et al. </w:t>
      </w:r>
      <w:r>
        <w:rPr>
          <w:rFonts w:ascii="Calibri" w:eastAsia="Calibri" w:hAnsi="Calibri" w:cs="Calibri"/>
          <w:noProof/>
          <w:sz w:val="22"/>
          <w:szCs w:val="22"/>
          <w:lang w:val="en-ID"/>
        </w:rPr>
        <w:t>(</w:t>
      </w:r>
      <w:r w:rsidRPr="003229B5">
        <w:rPr>
          <w:rFonts w:ascii="Calibri" w:eastAsia="Calibri" w:hAnsi="Calibri" w:cs="Calibri"/>
          <w:noProof/>
          <w:sz w:val="22"/>
          <w:szCs w:val="22"/>
          <w:lang w:val="en-ID"/>
        </w:rPr>
        <w:t>2021)</w:t>
      </w:r>
      <w:r>
        <w:rPr>
          <w:rFonts w:ascii="Calibri" w:eastAsia="Calibri" w:hAnsi="Calibri" w:cs="Calibri"/>
          <w:sz w:val="22"/>
          <w:szCs w:val="22"/>
          <w:lang w:val="en-ID"/>
        </w:rPr>
        <w:fldChar w:fldCharType="end"/>
      </w:r>
      <w:r>
        <w:rPr>
          <w:rFonts w:asciiTheme="minorHAnsi" w:hAnsiTheme="minorHAnsi" w:cstheme="minorHAnsi"/>
          <w:sz w:val="22"/>
          <w:szCs w:val="22"/>
        </w:rPr>
        <w:t xml:space="preserve"> </w:t>
      </w:r>
      <w:r w:rsidRPr="00D97C06">
        <w:rPr>
          <w:rFonts w:ascii="Calibri" w:eastAsia="Calibri" w:hAnsi="Calibri" w:cs="Calibri"/>
          <w:sz w:val="22"/>
          <w:szCs w:val="22"/>
          <w:lang w:val="en-ID"/>
        </w:rPr>
        <w:t>emphasize the importance of adequate learning facilities to support the process of learning to read the Al-Qur'an at home and at school. This facility factor is further supported by findings from various other studies, such as those by</w:t>
      </w:r>
      <w:r>
        <w:rPr>
          <w:rFonts w:ascii="Calibri" w:eastAsia="Calibri" w:hAnsi="Calibri" w:cs="Calibri"/>
          <w:sz w:val="22"/>
          <w:szCs w:val="22"/>
          <w:lang w:val="en-ID"/>
        </w:rPr>
        <w:t xml:space="preserve"> </w:t>
      </w:r>
      <w:r>
        <w:rPr>
          <w:rFonts w:ascii="Calibri" w:eastAsia="Calibri" w:hAnsi="Calibri" w:cs="Calibri"/>
          <w:sz w:val="22"/>
          <w:szCs w:val="22"/>
          <w:lang w:val="en-ID"/>
        </w:rPr>
        <w:fldChar w:fldCharType="begin" w:fldLock="1"/>
      </w:r>
      <w:r>
        <w:rPr>
          <w:rFonts w:ascii="Calibri" w:eastAsia="Calibri" w:hAnsi="Calibri" w:cs="Calibri"/>
          <w:sz w:val="22"/>
          <w:szCs w:val="22"/>
          <w:lang w:val="en-ID"/>
        </w:rPr>
        <w:instrText>ADDIN CSL_CITATION {"citationItems":[{"id":"ITEM-1","itemData":{"DOI":"http://dx.doi.org/10.17977/um025v9i12024p60","author":[{"dropping-particle":"","family":"Asmariyah","given":"Asmariyah","non-dropping-particle":"","parse-names":false,"suffix":""},{"dropping-particle":"","family":"Supriyanto","given":"Achmad","non-dropping-particle":"","parse-names":false,"suffix":""},{"dropping-particle":"","family":"Sobri","given":"Ahmad Yusuf","non-dropping-particle":"","parse-names":false,"suffix":""}],"container-title":"JMSP: Jurnal Manajemen dan Supervisi Pendidikan","id":"ITEM-1","issue":"1","issued":{"date-parts":[["2024"]]},"page":"164-168","title":"The Influence of Learning Facilities on Students' Academic Achievement at the International Islamic Boarding School Malang","type":"article-journal","volume":"9"},"uris":["http://www.mendeley.com/documents/?uuid=5fc6e12f-6478-4e89-9353-df1e1d4cb213"]}],"mendeley":{"formattedCitation":"(Asmariyah et al., 2024)","manualFormatting":"Asmariyah et al. (2024)","plainTextFormattedCitation":"(Asmariyah et al., 2024)","previouslyFormattedCitation":"(Asmariyah et al., 2024)"},"properties":{"noteIndex":0},"schema":"https://github.com/citation-style-language/schema/raw/master/csl-citation.json"}</w:instrText>
      </w:r>
      <w:r>
        <w:rPr>
          <w:rFonts w:ascii="Calibri" w:eastAsia="Calibri" w:hAnsi="Calibri" w:cs="Calibri"/>
          <w:sz w:val="22"/>
          <w:szCs w:val="22"/>
          <w:lang w:val="en-ID"/>
        </w:rPr>
        <w:fldChar w:fldCharType="separate"/>
      </w:r>
      <w:r w:rsidRPr="009E1EB5">
        <w:rPr>
          <w:rFonts w:ascii="Calibri" w:eastAsia="Calibri" w:hAnsi="Calibri" w:cs="Calibri"/>
          <w:noProof/>
          <w:sz w:val="22"/>
          <w:szCs w:val="22"/>
          <w:lang w:val="en-ID"/>
        </w:rPr>
        <w:t xml:space="preserve">Asmariyah et al. </w:t>
      </w:r>
      <w:r>
        <w:rPr>
          <w:rFonts w:ascii="Calibri" w:eastAsia="Calibri" w:hAnsi="Calibri" w:cs="Calibri"/>
          <w:noProof/>
          <w:sz w:val="22"/>
          <w:szCs w:val="22"/>
          <w:lang w:val="en-ID"/>
        </w:rPr>
        <w:t>(</w:t>
      </w:r>
      <w:r w:rsidRPr="009E1EB5">
        <w:rPr>
          <w:rFonts w:ascii="Calibri" w:eastAsia="Calibri" w:hAnsi="Calibri" w:cs="Calibri"/>
          <w:noProof/>
          <w:sz w:val="22"/>
          <w:szCs w:val="22"/>
          <w:lang w:val="en-ID"/>
        </w:rPr>
        <w:t>2024)</w:t>
      </w:r>
      <w:r>
        <w:rPr>
          <w:rFonts w:ascii="Calibri" w:eastAsia="Calibri" w:hAnsi="Calibri" w:cs="Calibri"/>
          <w:sz w:val="22"/>
          <w:szCs w:val="22"/>
          <w:lang w:val="en-ID"/>
        </w:rPr>
        <w:fldChar w:fldCharType="end"/>
      </w:r>
      <w:r>
        <w:rPr>
          <w:rFonts w:ascii="Calibri" w:eastAsia="Calibri" w:hAnsi="Calibri" w:cs="Calibri"/>
          <w:sz w:val="22"/>
          <w:szCs w:val="22"/>
          <w:lang w:val="en-ID"/>
        </w:rPr>
        <w:t xml:space="preserve">, </w:t>
      </w:r>
      <w:r>
        <w:rPr>
          <w:rFonts w:ascii="Calibri" w:eastAsia="Calibri" w:hAnsi="Calibri" w:cs="Calibri"/>
          <w:sz w:val="22"/>
          <w:szCs w:val="22"/>
          <w:lang w:val="en-ID"/>
        </w:rPr>
        <w:fldChar w:fldCharType="begin" w:fldLock="1"/>
      </w:r>
      <w:r>
        <w:rPr>
          <w:rFonts w:ascii="Calibri" w:eastAsia="Calibri" w:hAnsi="Calibri" w:cs="Calibri"/>
          <w:sz w:val="22"/>
          <w:szCs w:val="22"/>
          <w:lang w:val="en-ID"/>
        </w:rPr>
        <w:instrText>ADDIN CSL_CITATION {"citationItems":[{"id":"ITEM-1","itemData":{"DOI":"10.37680/qalamuna.v14i2.3764","ISSN":"1907-6355","author":[{"dropping-particle":"","family":"Hidayat","given":"Syamsul","non-dropping-particle":"","parse-names":false,"suffix":""},{"dropping-particle":"","family":"Amirsyah","given":"Amirsyah","non-dropping-particle":"","parse-names":false,"suffix":""},{"dropping-particle":"","family":"Affandi","given":"Lukman","non-dropping-particle":"","parse-names":false,"suffix":""},{"dropping-particle":"","family":"Rahmat","given":"Munawar","non-dropping-particle":"","parse-names":false,"suffix":""}],"container-title":"QALAMUNA: Jurnal Pendidikan, Sosial, dan Agama","id":"ITEM-1","issue":"2","issued":{"date-parts":[["2022"]]},"page":"947-960","title":"The Impact of the Digital Al-Qur'an Thematic Learning Model on the Learning Achievement of Santri at Islamic Boarding Schools in Bandung Regency","type":"article-journal","volume":"14"},"uris":["http://www.mendeley.com/documents/?uuid=e243ec1a-4057-484a-8bff-25c965cdad83"]}],"mendeley":{"formattedCitation":"(Hidayat et al., 2022)","manualFormatting":"Hidayat et al. (2022)","plainTextFormattedCitation":"(Hidayat et al., 2022)","previouslyFormattedCitation":"(Hidayat et al., 2022)"},"properties":{"noteIndex":0},"schema":"https://github.com/citation-style-language/schema/raw/master/csl-citation.json"}</w:instrText>
      </w:r>
      <w:r>
        <w:rPr>
          <w:rFonts w:ascii="Calibri" w:eastAsia="Calibri" w:hAnsi="Calibri" w:cs="Calibri"/>
          <w:sz w:val="22"/>
          <w:szCs w:val="22"/>
          <w:lang w:val="en-ID"/>
        </w:rPr>
        <w:fldChar w:fldCharType="separate"/>
      </w:r>
      <w:r w:rsidRPr="009E1EB5">
        <w:rPr>
          <w:rFonts w:ascii="Calibri" w:eastAsia="Calibri" w:hAnsi="Calibri" w:cs="Calibri"/>
          <w:noProof/>
          <w:sz w:val="22"/>
          <w:szCs w:val="22"/>
          <w:lang w:val="en-ID"/>
        </w:rPr>
        <w:t xml:space="preserve">Hidayat et al. </w:t>
      </w:r>
      <w:r>
        <w:rPr>
          <w:rFonts w:ascii="Calibri" w:eastAsia="Calibri" w:hAnsi="Calibri" w:cs="Calibri"/>
          <w:noProof/>
          <w:sz w:val="22"/>
          <w:szCs w:val="22"/>
          <w:lang w:val="en-ID"/>
        </w:rPr>
        <w:t>(</w:t>
      </w:r>
      <w:r w:rsidRPr="009E1EB5">
        <w:rPr>
          <w:rFonts w:ascii="Calibri" w:eastAsia="Calibri" w:hAnsi="Calibri" w:cs="Calibri"/>
          <w:noProof/>
          <w:sz w:val="22"/>
          <w:szCs w:val="22"/>
          <w:lang w:val="en-ID"/>
        </w:rPr>
        <w:t>2022)</w:t>
      </w:r>
      <w:r>
        <w:rPr>
          <w:rFonts w:ascii="Calibri" w:eastAsia="Calibri" w:hAnsi="Calibri" w:cs="Calibri"/>
          <w:sz w:val="22"/>
          <w:szCs w:val="22"/>
          <w:lang w:val="en-ID"/>
        </w:rPr>
        <w:fldChar w:fldCharType="end"/>
      </w:r>
      <w:r>
        <w:rPr>
          <w:rFonts w:ascii="Calibri" w:eastAsia="Calibri" w:hAnsi="Calibri" w:cs="Calibri"/>
          <w:sz w:val="22"/>
          <w:szCs w:val="22"/>
          <w:lang w:val="en-ID"/>
        </w:rPr>
        <w:t xml:space="preserve"> and </w:t>
      </w:r>
      <w:r>
        <w:rPr>
          <w:rFonts w:ascii="Calibri" w:eastAsia="Calibri" w:hAnsi="Calibri" w:cs="Calibri"/>
          <w:sz w:val="22"/>
          <w:szCs w:val="22"/>
          <w:lang w:val="en-ID"/>
        </w:rPr>
        <w:fldChar w:fldCharType="begin" w:fldLock="1"/>
      </w:r>
      <w:r>
        <w:rPr>
          <w:rFonts w:ascii="Calibri" w:eastAsia="Calibri" w:hAnsi="Calibri" w:cs="Calibri"/>
          <w:sz w:val="22"/>
          <w:szCs w:val="22"/>
          <w:lang w:val="en-ID"/>
        </w:rPr>
        <w:instrText>ADDIN CSL_CITATION {"citationItems":[{"id":"ITEM-1","itemData":{"DOI":"https://doi.org/10.21070/ijis.v12i2.1718","abstract":"This study aims to determine the effect of augmented reality learning media on students' motivationandlearningoutcomesinelementarysocial studies subjects.Theresearchmethod used is quantitative experimental, pre experimental design, one group pretest-posttest. The data collection technique was done by giving pretest and posttest. Data analysis techniques usinginferential statisticsincludeparametricstatisticsusingpairedsamplet-test.Theresults of the study found that there was a big influence on the use of augmented reality learning media on students' motivation and learning outcomes in elementary social studies subjects. There are two aspects of increasing students' learning motivation including intrinsic and extrinsic aspects. Meanwhile, the increase in student learning outcomes in the cognitive domain is at levels C1, C2 and C3. The results of this study suggest that teachers, especially teachers at the elementary level, make more use of technology in making learning media, especially in social studies subjects. In addition to facilitating the planting of learning concepts, the use of technology-based learning media is also useful in making learning activities more interesting and making it easier for students to understand learning materials.","author":[{"dropping-particle":"","family":"Khotimah","given":"Husnul","non-dropping-particle":"","parse-names":false,"suffix":""},{"dropping-particle":"","family":"Maslikhatun","given":"Nur","non-dropping-particle":"","parse-names":false,"suffix":""}],"container-title":"Indonesian Journal of Law and Economics Review","id":"ITEM-1","issue":"2","issued":{"date-parts":[["2024"]]},"page":"6-13","title":"Global Challenges in Elementary Qur’an Memorization Tantangan","type":"article-journal","volume":"12"},"uris":["http://www.mendeley.com/documents/?uuid=e0869403-fe37-4d4a-9246-13235a5f1033"]}],"mendeley":{"formattedCitation":"(Khotimah &amp; Maslikhatun, 2024)","manualFormatting":"Khotimah &amp; Maslikhatun (2024)","plainTextFormattedCitation":"(Khotimah &amp; Maslikhatun, 2024)","previouslyFormattedCitation":"(Khotimah &amp; Maslikhatun, 2024)"},"properties":{"noteIndex":0},"schema":"https://github.com/citation-style-language/schema/raw/master/csl-citation.json"}</w:instrText>
      </w:r>
      <w:r>
        <w:rPr>
          <w:rFonts w:ascii="Calibri" w:eastAsia="Calibri" w:hAnsi="Calibri" w:cs="Calibri"/>
          <w:sz w:val="22"/>
          <w:szCs w:val="22"/>
          <w:lang w:val="en-ID"/>
        </w:rPr>
        <w:fldChar w:fldCharType="separate"/>
      </w:r>
      <w:r w:rsidRPr="009E1EB5">
        <w:rPr>
          <w:rFonts w:ascii="Calibri" w:eastAsia="Calibri" w:hAnsi="Calibri" w:cs="Calibri"/>
          <w:noProof/>
          <w:sz w:val="22"/>
          <w:szCs w:val="22"/>
          <w:lang w:val="en-ID"/>
        </w:rPr>
        <w:t xml:space="preserve">Khotimah &amp; Maslikhatun </w:t>
      </w:r>
      <w:r>
        <w:rPr>
          <w:rFonts w:ascii="Calibri" w:eastAsia="Calibri" w:hAnsi="Calibri" w:cs="Calibri"/>
          <w:noProof/>
          <w:sz w:val="22"/>
          <w:szCs w:val="22"/>
          <w:lang w:val="en-ID"/>
        </w:rPr>
        <w:t>(</w:t>
      </w:r>
      <w:r w:rsidRPr="009E1EB5">
        <w:rPr>
          <w:rFonts w:ascii="Calibri" w:eastAsia="Calibri" w:hAnsi="Calibri" w:cs="Calibri"/>
          <w:noProof/>
          <w:sz w:val="22"/>
          <w:szCs w:val="22"/>
          <w:lang w:val="en-ID"/>
        </w:rPr>
        <w:t>2024)</w:t>
      </w:r>
      <w:r>
        <w:rPr>
          <w:rFonts w:ascii="Calibri" w:eastAsia="Calibri" w:hAnsi="Calibri" w:cs="Calibri"/>
          <w:sz w:val="22"/>
          <w:szCs w:val="22"/>
          <w:lang w:val="en-ID"/>
        </w:rPr>
        <w:fldChar w:fldCharType="end"/>
      </w:r>
      <w:r w:rsidRPr="00D97C06">
        <w:rPr>
          <w:rFonts w:ascii="Calibri" w:eastAsia="Calibri" w:hAnsi="Calibri" w:cs="Calibri"/>
          <w:sz w:val="22"/>
          <w:szCs w:val="22"/>
          <w:lang w:val="en-ID"/>
        </w:rPr>
        <w:t>, which indicate that students with easy access to the Quran tend to practice more frequently and master reading more quickly</w:t>
      </w:r>
    </w:p>
    <w:p w14:paraId="2A9ED27D" w14:textId="77777777" w:rsidR="003B560C" w:rsidRDefault="003B560C" w:rsidP="003B560C">
      <w:pPr>
        <w:ind w:firstLine="426"/>
        <w:jc w:val="both"/>
        <w:rPr>
          <w:rFonts w:ascii="Calibri" w:eastAsia="Calibri" w:hAnsi="Calibri" w:cs="Calibri"/>
          <w:sz w:val="22"/>
          <w:szCs w:val="22"/>
          <w:lang w:val="en-ID"/>
        </w:rPr>
      </w:pPr>
      <w:r w:rsidRPr="00DB6FAC">
        <w:rPr>
          <w:rFonts w:ascii="Calibri" w:eastAsia="Calibri" w:hAnsi="Calibri" w:cs="Calibri"/>
          <w:sz w:val="22"/>
          <w:szCs w:val="22"/>
          <w:lang w:val="en-ID"/>
        </w:rPr>
        <w:t>From a learning strategy perspective, previous studies such as that by</w:t>
      </w:r>
      <w:r>
        <w:rPr>
          <w:rFonts w:ascii="Calibri" w:eastAsia="Calibri" w:hAnsi="Calibri" w:cs="Calibri"/>
          <w:sz w:val="22"/>
          <w:szCs w:val="22"/>
          <w:lang w:val="en-ID"/>
        </w:rPr>
        <w:t xml:space="preserve"> </w:t>
      </w:r>
      <w:r>
        <w:rPr>
          <w:rFonts w:ascii="Calibri" w:eastAsia="Calibri" w:hAnsi="Calibri" w:cs="Calibri"/>
          <w:sz w:val="22"/>
          <w:szCs w:val="22"/>
          <w:lang w:val="en-ID"/>
        </w:rPr>
        <w:fldChar w:fldCharType="begin" w:fldLock="1"/>
      </w:r>
      <w:r>
        <w:rPr>
          <w:rFonts w:ascii="Calibri" w:eastAsia="Calibri" w:hAnsi="Calibri" w:cs="Calibri"/>
          <w:sz w:val="22"/>
          <w:szCs w:val="22"/>
          <w:lang w:val="en-ID"/>
        </w:rPr>
        <w:instrText>ADDIN CSL_CITATION {"citationItems":[{"id":"ITEM-1","itemData":{"DOI":"10.59653/jmisc.v1i03.280","abstract":"The guide to the Islamic religion is the holy book Al-Qur'an, which should be read exactly according to the rules of Tajweed and understood as a guide to life. There are still students in this field who are not good at reading the Qur’an and need alternative methods to practice and improve their ability to read the Qur’an. The purpose of this study is to provide educators with knowledge on how to practice good Qur’an reading using different methods such as Talaqqi and Tasin methods. This study uses quantitative methods combined with experimental methods. Data collection was carried out by means of a reading test of several Quranic verses used to measure Qur’an reading ability. The research subjects were 35 Santri people. Data analysis used SPSS Statistic 26 application, specifically multiple linear regression analysis. The results of this study show that talaqqi and tahsin methods have a significant influence on students' ability to read the Qur’an. 41.8% of a person's ability to read the Qur’an is influenced by talaqqi and tasin methods, the remaining 58.2% by other factors.","author":[{"dropping-particle":"","family":"Ibnu","given":"Muhamad","non-dropping-particle":"","parse-names":false,"suffix":""},{"dropping-particle":"","family":"Rahmawati","given":"Shintia","non-dropping-particle":"","parse-names":false,"suffix":""},{"dropping-particle":"","family":"Ridwansyah","given":"Risyad Sani","non-dropping-particle":"","parse-names":false,"suffix":""},{"dropping-particle":"","family":"Kariadinata","given":"Rahayu","non-dropping-particle":"","parse-names":false,"suffix":""},{"dropping-particle":"","family":"Susilawati","given":"Wati","non-dropping-particle":"","parse-names":false,"suffix":""}],"container-title":"Journal of Modern Islamic Studies and Civilization","id":"ITEM-1","issue":"03","issued":{"date-parts":[["2023"]]},"page":"124-137","title":"Influence of the Talaqi and Tahsin Methods on the Al-Qur'an Reading Ability of Santri at the Al-Falah Islamic Boarding School Nagreg Bandung","type":"article-journal","volume":"1"},"uris":["http://www.mendeley.com/documents/?uuid=63413c97-abf8-4b7a-b5e5-8f72c3ffa706"]}],"mendeley":{"formattedCitation":"(Ibnu et al., 2023)","manualFormatting":"Ibnu et al. (2023)","plainTextFormattedCitation":"(Ibnu et al., 2023)","previouslyFormattedCitation":"(Ibnu et al., 2023)"},"properties":{"noteIndex":0},"schema":"https://github.com/citation-style-language/schema/raw/master/csl-citation.json"}</w:instrText>
      </w:r>
      <w:r>
        <w:rPr>
          <w:rFonts w:ascii="Calibri" w:eastAsia="Calibri" w:hAnsi="Calibri" w:cs="Calibri"/>
          <w:sz w:val="22"/>
          <w:szCs w:val="22"/>
          <w:lang w:val="en-ID"/>
        </w:rPr>
        <w:fldChar w:fldCharType="separate"/>
      </w:r>
      <w:r w:rsidRPr="00C47E08">
        <w:rPr>
          <w:rFonts w:ascii="Calibri" w:eastAsia="Calibri" w:hAnsi="Calibri" w:cs="Calibri"/>
          <w:noProof/>
          <w:sz w:val="22"/>
          <w:szCs w:val="22"/>
          <w:lang w:val="en-ID"/>
        </w:rPr>
        <w:t xml:space="preserve">Ibnu et al. </w:t>
      </w:r>
      <w:r>
        <w:rPr>
          <w:rFonts w:ascii="Calibri" w:eastAsia="Calibri" w:hAnsi="Calibri" w:cs="Calibri"/>
          <w:noProof/>
          <w:sz w:val="22"/>
          <w:szCs w:val="22"/>
          <w:lang w:val="en-ID"/>
        </w:rPr>
        <w:t>(</w:t>
      </w:r>
      <w:r w:rsidRPr="00C47E08">
        <w:rPr>
          <w:rFonts w:ascii="Calibri" w:eastAsia="Calibri" w:hAnsi="Calibri" w:cs="Calibri"/>
          <w:noProof/>
          <w:sz w:val="22"/>
          <w:szCs w:val="22"/>
          <w:lang w:val="en-ID"/>
        </w:rPr>
        <w:t>2023)</w:t>
      </w:r>
      <w:r>
        <w:rPr>
          <w:rFonts w:ascii="Calibri" w:eastAsia="Calibri" w:hAnsi="Calibri" w:cs="Calibri"/>
          <w:sz w:val="22"/>
          <w:szCs w:val="22"/>
          <w:lang w:val="en-ID"/>
        </w:rPr>
        <w:fldChar w:fldCharType="end"/>
      </w:r>
      <w:r w:rsidRPr="00DB6FAC">
        <w:rPr>
          <w:rFonts w:ascii="Calibri" w:eastAsia="Calibri" w:hAnsi="Calibri" w:cs="Calibri"/>
          <w:sz w:val="22"/>
          <w:szCs w:val="22"/>
          <w:lang w:val="en-ID"/>
        </w:rPr>
        <w:t xml:space="preserve"> recommend the application of the talaqqi and tahsin methods, as well as the use of interactive digital media, as efforts to improve the quality of students' reading. However, this study found that special programs for practicing reading the Qur'an in schools are still very limited, so that students' learning time is very limited to religious education classes only. This contrasts with practices in schools or institutions, as observed in the study by</w:t>
      </w:r>
      <w:r>
        <w:rPr>
          <w:rFonts w:ascii="Calibri" w:eastAsia="Calibri" w:hAnsi="Calibri" w:cs="Calibri"/>
          <w:sz w:val="22"/>
          <w:szCs w:val="22"/>
          <w:lang w:val="en-ID"/>
        </w:rPr>
        <w:t xml:space="preserve"> </w:t>
      </w:r>
      <w:r>
        <w:rPr>
          <w:rFonts w:ascii="Calibri" w:eastAsia="Calibri" w:hAnsi="Calibri" w:cs="Calibri"/>
          <w:sz w:val="22"/>
          <w:szCs w:val="22"/>
          <w:lang w:val="en-ID"/>
        </w:rPr>
        <w:fldChar w:fldCharType="begin" w:fldLock="1"/>
      </w:r>
      <w:r>
        <w:rPr>
          <w:rFonts w:ascii="Calibri" w:eastAsia="Calibri" w:hAnsi="Calibri" w:cs="Calibri"/>
          <w:sz w:val="22"/>
          <w:szCs w:val="22"/>
          <w:lang w:val="en-ID"/>
        </w:rPr>
        <w:instrText>ADDIN CSL_CITATION {"citationItems":[{"id":"ITEM-1","itemData":{"DOI":"https://doi.org/10.21070/ijis.v12i2.1718","abstract":"This study aims to determine the effect of augmented reality learning media on students' motivationandlearningoutcomesinelementarysocial studies subjects.Theresearchmethod used is quantitative experimental, pre experimental design, one group pretest-posttest. The data collection technique was done by giving pretest and posttest. Data analysis techniques usinginferential statisticsincludeparametricstatisticsusingpairedsamplet-test.Theresults of the study found that there was a big influence on the use of augmented reality learning media on students' motivation and learning outcomes in elementary social studies subjects. There are two aspects of increasing students' learning motivation including intrinsic and extrinsic aspects. Meanwhile, the increase in student learning outcomes in the cognitive domain is at levels C1, C2 and C3. The results of this study suggest that teachers, especially teachers at the elementary level, make more use of technology in making learning media, especially in social studies subjects. In addition to facilitating the planting of learning concepts, the use of technology-based learning media is also useful in making learning activities more interesting and making it easier for students to understand learning materials.","author":[{"dropping-particle":"","family":"Khotimah","given":"Husnul","non-dropping-particle":"","parse-names":false,"suffix":""},{"dropping-particle":"","family":"Maslikhatun","given":"Nur","non-dropping-particle":"","parse-names":false,"suffix":""}],"container-title":"Indonesian Journal of Law and Economics Review","id":"ITEM-1","issue":"2","issued":{"date-parts":[["2024"]]},"page":"6-13","title":"Global Challenges in Elementary Qur’an Memorization Tantangan","type":"article-journal","volume":"12"},"uris":["http://www.mendeley.com/documents/?uuid=e0869403-fe37-4d4a-9246-13235a5f1033"]}],"mendeley":{"formattedCitation":"(Khotimah &amp; Maslikhatun, 2024)","manualFormatting":"Khotimah &amp; Maslikhatun (2024)","plainTextFormattedCitation":"(Khotimah &amp; Maslikhatun, 2024)","previouslyFormattedCitation":"(Khotimah &amp; Maslikhatun, 2024)"},"properties":{"noteIndex":0},"schema":"https://github.com/citation-style-language/schema/raw/master/csl-citation.json"}</w:instrText>
      </w:r>
      <w:r>
        <w:rPr>
          <w:rFonts w:ascii="Calibri" w:eastAsia="Calibri" w:hAnsi="Calibri" w:cs="Calibri"/>
          <w:sz w:val="22"/>
          <w:szCs w:val="22"/>
          <w:lang w:val="en-ID"/>
        </w:rPr>
        <w:fldChar w:fldCharType="separate"/>
      </w:r>
      <w:r w:rsidRPr="00197F87">
        <w:rPr>
          <w:rFonts w:ascii="Calibri" w:eastAsia="Calibri" w:hAnsi="Calibri" w:cs="Calibri"/>
          <w:noProof/>
          <w:sz w:val="22"/>
          <w:szCs w:val="22"/>
          <w:lang w:val="en-ID"/>
        </w:rPr>
        <w:t xml:space="preserve">Khotimah &amp; Maslikhatun </w:t>
      </w:r>
      <w:r>
        <w:rPr>
          <w:rFonts w:ascii="Calibri" w:eastAsia="Calibri" w:hAnsi="Calibri" w:cs="Calibri"/>
          <w:noProof/>
          <w:sz w:val="22"/>
          <w:szCs w:val="22"/>
          <w:lang w:val="en-ID"/>
        </w:rPr>
        <w:t>(</w:t>
      </w:r>
      <w:r w:rsidRPr="00197F87">
        <w:rPr>
          <w:rFonts w:ascii="Calibri" w:eastAsia="Calibri" w:hAnsi="Calibri" w:cs="Calibri"/>
          <w:noProof/>
          <w:sz w:val="22"/>
          <w:szCs w:val="22"/>
          <w:lang w:val="en-ID"/>
        </w:rPr>
        <w:t>2024)</w:t>
      </w:r>
      <w:r>
        <w:rPr>
          <w:rFonts w:ascii="Calibri" w:eastAsia="Calibri" w:hAnsi="Calibri" w:cs="Calibri"/>
          <w:sz w:val="22"/>
          <w:szCs w:val="22"/>
          <w:lang w:val="en-ID"/>
        </w:rPr>
        <w:fldChar w:fldCharType="end"/>
      </w:r>
      <w:r w:rsidRPr="00DB6FAC">
        <w:rPr>
          <w:rFonts w:ascii="Calibri" w:eastAsia="Calibri" w:hAnsi="Calibri" w:cs="Calibri"/>
          <w:sz w:val="22"/>
          <w:szCs w:val="22"/>
          <w:lang w:val="en-ID"/>
        </w:rPr>
        <w:t>,</w:t>
      </w:r>
      <w:r w:rsidRPr="00197F87">
        <w:t xml:space="preserve"> </w:t>
      </w:r>
      <w:r w:rsidRPr="00197F87">
        <w:rPr>
          <w:rFonts w:ascii="Calibri" w:eastAsia="Calibri" w:hAnsi="Calibri" w:cs="Calibri"/>
          <w:sz w:val="22"/>
          <w:szCs w:val="22"/>
          <w:lang w:val="en-ID"/>
        </w:rPr>
        <w:t xml:space="preserve">which states that the combination of cooperative learning and blended learning approaches not only equips students with the ability to understand the material but also </w:t>
      </w:r>
      <w:r w:rsidRPr="00197F87">
        <w:rPr>
          <w:rFonts w:ascii="Calibri" w:eastAsia="Calibri" w:hAnsi="Calibri" w:cs="Calibri"/>
          <w:sz w:val="22"/>
          <w:szCs w:val="22"/>
          <w:lang w:val="en-ID"/>
        </w:rPr>
        <w:lastRenderedPageBreak/>
        <w:t>enhances communication skills, interpersonal skills, problem-solving, critical analysis, and other skills needed by students. With the ease of technology, the limitations of classroom meetings can be overcome through blended learning.</w:t>
      </w:r>
    </w:p>
    <w:p w14:paraId="3BD5DD37" w14:textId="77777777" w:rsidR="00CC3004" w:rsidRPr="00DB6FAC" w:rsidRDefault="00CC3004" w:rsidP="00CC3004">
      <w:pPr>
        <w:ind w:firstLine="426"/>
        <w:jc w:val="both"/>
        <w:rPr>
          <w:rFonts w:ascii="Calibri" w:eastAsia="Calibri" w:hAnsi="Calibri" w:cs="Calibri"/>
          <w:sz w:val="22"/>
          <w:szCs w:val="22"/>
          <w:lang w:val="en-ID"/>
        </w:rPr>
      </w:pPr>
      <w:r w:rsidRPr="00DB6FAC">
        <w:rPr>
          <w:rFonts w:ascii="Calibri" w:eastAsia="Calibri" w:hAnsi="Calibri" w:cs="Calibri"/>
          <w:sz w:val="22"/>
          <w:szCs w:val="22"/>
          <w:lang w:val="en-ID"/>
        </w:rPr>
        <w:t>Thus, the results of this study reinforce previous findings that motivation, family support, social environment, learning facilities, and innovative learning strategies are factors that greatly determine students' success in reading the Qur'an. Therefore, efforts to improve students' ability to read the Quran in junior high schools must be comprehensive, involving schools, families, and the surrounding community, and supported by appropriate habit-forming programs and adequate learning facilities.</w:t>
      </w:r>
    </w:p>
    <w:p w14:paraId="5DCAA083" w14:textId="77777777" w:rsidR="00EE5178" w:rsidRPr="00CC3004" w:rsidRDefault="00EE5178">
      <w:pPr>
        <w:ind w:firstLine="426"/>
        <w:jc w:val="both"/>
        <w:rPr>
          <w:rFonts w:ascii="Calibri" w:eastAsia="Calibri" w:hAnsi="Calibri" w:cs="Calibri"/>
          <w:sz w:val="22"/>
          <w:szCs w:val="22"/>
          <w:lang w:val="en-ID"/>
        </w:rPr>
      </w:pPr>
    </w:p>
    <w:p w14:paraId="417C9CB4" w14:textId="77777777" w:rsidR="00EE5178" w:rsidRDefault="00A274B2">
      <w:pPr>
        <w:rPr>
          <w:rFonts w:ascii="Calibri" w:eastAsia="Calibri" w:hAnsi="Calibri" w:cs="Calibri"/>
          <w:b/>
          <w:sz w:val="22"/>
          <w:szCs w:val="22"/>
        </w:rPr>
      </w:pPr>
      <w:r>
        <w:rPr>
          <w:rFonts w:ascii="Calibri" w:eastAsia="Calibri" w:hAnsi="Calibri" w:cs="Calibri"/>
          <w:b/>
          <w:sz w:val="22"/>
          <w:szCs w:val="22"/>
        </w:rPr>
        <w:t>CONCLUSION</w:t>
      </w:r>
    </w:p>
    <w:p w14:paraId="47A59BBC" w14:textId="2E1F7680" w:rsidR="004B789A" w:rsidRPr="004B789A" w:rsidRDefault="004B789A" w:rsidP="004B789A">
      <w:pPr>
        <w:ind w:firstLine="426"/>
        <w:jc w:val="both"/>
        <w:rPr>
          <w:rFonts w:ascii="Calibri" w:eastAsia="Calibri" w:hAnsi="Calibri" w:cs="Calibri"/>
          <w:sz w:val="22"/>
          <w:szCs w:val="22"/>
          <w:lang w:val="en-ID"/>
        </w:rPr>
      </w:pPr>
      <w:r w:rsidRPr="004B789A">
        <w:rPr>
          <w:rFonts w:ascii="Calibri" w:eastAsia="Calibri" w:hAnsi="Calibri" w:cs="Calibri"/>
          <w:sz w:val="22"/>
          <w:szCs w:val="22"/>
          <w:lang w:val="en-ID"/>
        </w:rPr>
        <w:t>Based on the results of the study, the ability to read the Qur'an among junior high school students is still relatively low. This condition is influenced by the absence of a regular program for practicing reading the Qur'an at school, limited time for religious education, lack of support and guidance from parents, low student motivation, limited access to Qur'an manuscripts at home, and an unsupportive social environment. These factors are interrelated and constitute the main obstacles to the development of Quran reading skills among junior high school students.</w:t>
      </w:r>
    </w:p>
    <w:p w14:paraId="371F8ABC" w14:textId="304DA77F" w:rsidR="004B789A" w:rsidRPr="004B789A" w:rsidRDefault="004B789A" w:rsidP="004B789A">
      <w:pPr>
        <w:ind w:firstLine="426"/>
        <w:jc w:val="both"/>
        <w:rPr>
          <w:rFonts w:ascii="Calibri" w:eastAsia="Calibri" w:hAnsi="Calibri" w:cs="Calibri"/>
          <w:sz w:val="22"/>
          <w:szCs w:val="22"/>
          <w:lang w:val="en-ID"/>
        </w:rPr>
      </w:pPr>
      <w:r w:rsidRPr="004B789A">
        <w:rPr>
          <w:rFonts w:ascii="Calibri" w:eastAsia="Calibri" w:hAnsi="Calibri" w:cs="Calibri"/>
          <w:sz w:val="22"/>
          <w:szCs w:val="22"/>
          <w:lang w:val="en-ID"/>
        </w:rPr>
        <w:t>As a recommendation, schools are encouraged to initiate special programs that promote the habit of regularly reading the Quran, such as morning Quran recitation sessions or Quranic recitation classes, and provide training to teachers to enable them to apply more varied and engaging teaching methods. Parents are also encouraged to be more active in accompanying and motivating their children to read the Quran at home, at least by providing adequate time and facilities. Additionally, the community can play a role by creating a supportive social environment through joint religious activities.</w:t>
      </w:r>
    </w:p>
    <w:p w14:paraId="7C97F12C" w14:textId="1E053365" w:rsidR="00AB577C" w:rsidRPr="004B789A" w:rsidRDefault="00AB577C" w:rsidP="00AB577C">
      <w:pPr>
        <w:ind w:firstLine="426"/>
        <w:jc w:val="both"/>
        <w:rPr>
          <w:rFonts w:ascii="Calibri" w:eastAsia="Calibri" w:hAnsi="Calibri" w:cs="Calibri"/>
          <w:sz w:val="22"/>
          <w:szCs w:val="22"/>
          <w:lang w:val="en-ID"/>
        </w:rPr>
      </w:pPr>
      <w:r w:rsidRPr="00AB577C">
        <w:rPr>
          <w:rFonts w:ascii="Calibri" w:eastAsia="Calibri" w:hAnsi="Calibri" w:cs="Calibri"/>
          <w:sz w:val="22"/>
          <w:szCs w:val="22"/>
          <w:lang w:val="en-ID"/>
        </w:rPr>
        <w:t>This study has a number of limitations that need to be considered. One of them is that the study was only conducted in one junior high school, so the findings obtained cannot yet represent other schools with different characteristics. Additionally, this study did not involve parents as data sources, despite the significant role of families in supporting the process of Quran literacy. The aspect of community involvement was also not extensively explored in this study. Therefore, future research is recommended to develop and test various intervention programs, such as the use of digital media or the implementation of community-based learning models, to enhance students' Quran literacy. Furthermore, the scope of the research should be expanded to other schools with diverse backgrounds and characteristics to make the results more representative and generalizable. Future research is also expected to involve collaboration between schools, families, and communities, such as interviewing parents and community leaders, to gain a more comprehensive understanding of the factors influencing Qur'an literacy. Furthermore, exploring effective collaboration strategies between schools, families, and communities in creating a learning environment that supports the development of Quran literacy is also very important. By considering these limitations and recommendations, it is hoped that future research can provide a more comprehensive contribution to improving Quran literacy among secondary school students.</w:t>
      </w:r>
    </w:p>
    <w:p w14:paraId="252A00F3" w14:textId="77777777" w:rsidR="004B789A" w:rsidRPr="004B789A" w:rsidRDefault="004B789A" w:rsidP="004B789A">
      <w:pPr>
        <w:ind w:firstLine="426"/>
        <w:jc w:val="both"/>
        <w:rPr>
          <w:rFonts w:ascii="Calibri" w:eastAsia="Calibri" w:hAnsi="Calibri" w:cs="Calibri"/>
          <w:sz w:val="22"/>
          <w:szCs w:val="22"/>
          <w:lang w:val="en-ID"/>
        </w:rPr>
      </w:pPr>
      <w:r w:rsidRPr="004B789A">
        <w:rPr>
          <w:rFonts w:ascii="Calibri" w:eastAsia="Calibri" w:hAnsi="Calibri" w:cs="Calibri"/>
          <w:sz w:val="22"/>
          <w:szCs w:val="22"/>
          <w:lang w:val="en-ID"/>
        </w:rPr>
        <w:t>With synergy and sustained efforts from various parties, it is hoped that students' ability to read the Qur'an in junior high schools will improve, thereby supporting the development of character and the overall quality of Islamic religious education.</w:t>
      </w:r>
    </w:p>
    <w:p w14:paraId="2F29D462" w14:textId="77777777" w:rsidR="00EE5178" w:rsidRPr="004B789A" w:rsidRDefault="00EE5178">
      <w:pPr>
        <w:ind w:firstLine="426"/>
        <w:jc w:val="both"/>
        <w:rPr>
          <w:rFonts w:ascii="Calibri" w:eastAsia="Calibri" w:hAnsi="Calibri" w:cs="Calibri"/>
          <w:sz w:val="22"/>
          <w:szCs w:val="22"/>
          <w:lang w:val="en-ID"/>
        </w:rPr>
      </w:pPr>
    </w:p>
    <w:p w14:paraId="72C58831" w14:textId="77777777" w:rsidR="00EE5178" w:rsidRDefault="00A274B2">
      <w:pPr>
        <w:rPr>
          <w:rFonts w:ascii="Calibri" w:eastAsia="Calibri" w:hAnsi="Calibri" w:cs="Calibri"/>
          <w:sz w:val="22"/>
          <w:szCs w:val="22"/>
        </w:rPr>
      </w:pPr>
      <w:r>
        <w:rPr>
          <w:rFonts w:ascii="Calibri" w:eastAsia="Calibri" w:hAnsi="Calibri" w:cs="Calibri"/>
          <w:b/>
          <w:sz w:val="22"/>
          <w:szCs w:val="22"/>
        </w:rPr>
        <w:t>CONFLICT OF INTEREST</w:t>
      </w:r>
    </w:p>
    <w:p w14:paraId="07817A32" w14:textId="77777777" w:rsidR="00F968F9" w:rsidRDefault="00F968F9" w:rsidP="00F1781C">
      <w:pPr>
        <w:jc w:val="both"/>
        <w:rPr>
          <w:rFonts w:ascii="Calibri" w:eastAsia="Calibri" w:hAnsi="Calibri" w:cs="Calibri"/>
          <w:sz w:val="22"/>
          <w:szCs w:val="22"/>
        </w:rPr>
      </w:pPr>
      <w:r w:rsidRPr="00C579FB">
        <w:rPr>
          <w:rFonts w:ascii="Calibri" w:eastAsia="Calibri" w:hAnsi="Calibri" w:cs="Calibri"/>
          <w:sz w:val="22"/>
          <w:szCs w:val="22"/>
        </w:rPr>
        <w:t>The authors declared that they have no conflicts of interest.</w:t>
      </w:r>
    </w:p>
    <w:p w14:paraId="39F6972B" w14:textId="77777777" w:rsidR="00EE5178" w:rsidRDefault="00EE5178">
      <w:pPr>
        <w:jc w:val="both"/>
        <w:rPr>
          <w:rFonts w:ascii="Calibri" w:eastAsia="Calibri" w:hAnsi="Calibri" w:cs="Calibri"/>
          <w:b/>
          <w:sz w:val="22"/>
          <w:szCs w:val="22"/>
        </w:rPr>
      </w:pPr>
    </w:p>
    <w:p w14:paraId="7AC97202" w14:textId="77777777" w:rsidR="00DC5D19" w:rsidRDefault="00DC5D19">
      <w:pPr>
        <w:rPr>
          <w:rFonts w:ascii="Calibri" w:eastAsia="Calibri" w:hAnsi="Calibri" w:cs="Calibri"/>
          <w:b/>
          <w:sz w:val="22"/>
          <w:szCs w:val="22"/>
        </w:rPr>
      </w:pPr>
    </w:p>
    <w:p w14:paraId="44121D78" w14:textId="77777777" w:rsidR="00EE5178" w:rsidRDefault="00A274B2">
      <w:pPr>
        <w:rPr>
          <w:rFonts w:ascii="Calibri" w:eastAsia="Calibri" w:hAnsi="Calibri" w:cs="Calibri"/>
          <w:b/>
          <w:sz w:val="22"/>
          <w:szCs w:val="22"/>
        </w:rPr>
      </w:pPr>
      <w:bookmarkStart w:id="3" w:name="_GoBack"/>
      <w:bookmarkEnd w:id="3"/>
      <w:r>
        <w:rPr>
          <w:rFonts w:ascii="Calibri" w:eastAsia="Calibri" w:hAnsi="Calibri" w:cs="Calibri"/>
          <w:b/>
          <w:sz w:val="22"/>
          <w:szCs w:val="22"/>
        </w:rPr>
        <w:lastRenderedPageBreak/>
        <w:t>REFERENCES</w:t>
      </w:r>
    </w:p>
    <w:p w14:paraId="3FC3B94F"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Pr>
          <w:rFonts w:ascii="Calibri" w:eastAsia="Calibri" w:hAnsi="Calibri" w:cs="Calibri"/>
          <w:b/>
          <w:sz w:val="22"/>
          <w:szCs w:val="22"/>
        </w:rPr>
        <w:fldChar w:fldCharType="begin" w:fldLock="1"/>
      </w:r>
      <w:r>
        <w:rPr>
          <w:rFonts w:ascii="Calibri" w:eastAsia="Calibri" w:hAnsi="Calibri" w:cs="Calibri"/>
          <w:b/>
          <w:sz w:val="22"/>
          <w:szCs w:val="22"/>
        </w:rPr>
        <w:instrText xml:space="preserve">ADDIN Mendeley Bibliography CSL_BIBLIOGRAPHY </w:instrText>
      </w:r>
      <w:r>
        <w:rPr>
          <w:rFonts w:ascii="Calibri" w:eastAsia="Calibri" w:hAnsi="Calibri" w:cs="Calibri"/>
          <w:b/>
          <w:sz w:val="22"/>
          <w:szCs w:val="22"/>
        </w:rPr>
        <w:fldChar w:fldCharType="separate"/>
      </w:r>
      <w:r w:rsidRPr="007354F1">
        <w:rPr>
          <w:rFonts w:ascii="Calibri" w:hAnsi="Calibri" w:cs="Calibri"/>
          <w:noProof/>
          <w:sz w:val="22"/>
        </w:rPr>
        <w:t xml:space="preserve">Abdullah, N. M. S. A. N., Sabbri, F. S. M., &amp; Isa, R. A. M. (2021). Exploring Student Motivation in Quranic Memorization in Selected Islamic Secondary Schools (a Case Study). </w:t>
      </w:r>
      <w:r w:rsidRPr="007354F1">
        <w:rPr>
          <w:rFonts w:ascii="Calibri" w:hAnsi="Calibri" w:cs="Calibri"/>
          <w:i/>
          <w:iCs/>
          <w:noProof/>
          <w:sz w:val="22"/>
        </w:rPr>
        <w:t>Al-Hayat: Journal of Islamic Education</w:t>
      </w:r>
      <w:r w:rsidRPr="007354F1">
        <w:rPr>
          <w:rFonts w:ascii="Calibri" w:hAnsi="Calibri" w:cs="Calibri"/>
          <w:noProof/>
          <w:sz w:val="22"/>
        </w:rPr>
        <w:t xml:space="preserve">, </w:t>
      </w:r>
      <w:r w:rsidRPr="007354F1">
        <w:rPr>
          <w:rFonts w:ascii="Calibri" w:hAnsi="Calibri" w:cs="Calibri"/>
          <w:i/>
          <w:iCs/>
          <w:noProof/>
          <w:sz w:val="22"/>
        </w:rPr>
        <w:t>5</w:t>
      </w:r>
      <w:r w:rsidRPr="007354F1">
        <w:rPr>
          <w:rFonts w:ascii="Calibri" w:hAnsi="Calibri" w:cs="Calibri"/>
          <w:noProof/>
          <w:sz w:val="22"/>
        </w:rPr>
        <w:t xml:space="preserve">(1), 100. </w:t>
      </w:r>
      <w:hyperlink r:id="rId20" w:history="1">
        <w:r w:rsidRPr="007354F1">
          <w:rPr>
            <w:rStyle w:val="Hyperlink"/>
            <w:rFonts w:ascii="Calibri" w:hAnsi="Calibri" w:cs="Calibri"/>
            <w:noProof/>
            <w:sz w:val="22"/>
          </w:rPr>
          <w:t>https://doi.org/10.35723/ajie.v5i1.161</w:t>
        </w:r>
      </w:hyperlink>
    </w:p>
    <w:p w14:paraId="52A8ED54"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Alif, M., Nuryana, Z., Yuliana, A. T. R. D., &amp; Rahman, A. (2021). Innovative Learning Strategies and Methods to Overcome Difficulties in Reading the Qur’an. </w:t>
      </w:r>
      <w:r w:rsidRPr="007354F1">
        <w:rPr>
          <w:rFonts w:ascii="Calibri" w:hAnsi="Calibri" w:cs="Calibri"/>
          <w:i/>
          <w:iCs/>
          <w:noProof/>
          <w:sz w:val="22"/>
        </w:rPr>
        <w:t>Al-MISBAH (Jurnal Islamic Studies)</w:t>
      </w:r>
      <w:r w:rsidRPr="007354F1">
        <w:rPr>
          <w:rFonts w:ascii="Calibri" w:hAnsi="Calibri" w:cs="Calibri"/>
          <w:noProof/>
          <w:sz w:val="22"/>
        </w:rPr>
        <w:t xml:space="preserve">, </w:t>
      </w:r>
      <w:r w:rsidRPr="007354F1">
        <w:rPr>
          <w:rFonts w:ascii="Calibri" w:hAnsi="Calibri" w:cs="Calibri"/>
          <w:i/>
          <w:iCs/>
          <w:noProof/>
          <w:sz w:val="22"/>
        </w:rPr>
        <w:t>9</w:t>
      </w:r>
      <w:r w:rsidRPr="007354F1">
        <w:rPr>
          <w:rFonts w:ascii="Calibri" w:hAnsi="Calibri" w:cs="Calibri"/>
          <w:noProof/>
          <w:sz w:val="22"/>
        </w:rPr>
        <w:t>(2), 140–151.</w:t>
      </w:r>
      <w:r>
        <w:rPr>
          <w:rFonts w:ascii="Calibri" w:hAnsi="Calibri" w:cs="Calibri"/>
          <w:noProof/>
          <w:sz w:val="22"/>
        </w:rPr>
        <w:t xml:space="preserve"> </w:t>
      </w:r>
      <w:hyperlink r:id="rId21" w:history="1">
        <w:r w:rsidRPr="007354F1">
          <w:rPr>
            <w:rStyle w:val="Hyperlink"/>
            <w:rFonts w:ascii="Calibri" w:hAnsi="Calibri" w:cs="Calibri"/>
            <w:noProof/>
            <w:sz w:val="22"/>
          </w:rPr>
          <w:t>https://doi.org/10.26555/almisbah.v9i2.3908</w:t>
        </w:r>
      </w:hyperlink>
    </w:p>
    <w:p w14:paraId="35A5A35B"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Ansyah, A., Amin, S. J., Marhani, M., Nurhayati, N., &amp; Herdah, H. (2025). Analisis Kemampuan Baca Al Qur ’ an dan Faktor yang Mempengaruhinya di Madrasah Aliyah DDI Attaufiq Padaelo Kecamatan Tanete Rilau Kabupaten Barru. </w:t>
      </w:r>
      <w:r w:rsidRPr="007354F1">
        <w:rPr>
          <w:rFonts w:ascii="Calibri" w:hAnsi="Calibri" w:cs="Calibri"/>
          <w:i/>
          <w:iCs/>
          <w:noProof/>
          <w:sz w:val="22"/>
        </w:rPr>
        <w:t>Iqra: Jurnal Ilmu Kependidikan Dan Keislaman</w:t>
      </w:r>
      <w:r w:rsidRPr="007354F1">
        <w:rPr>
          <w:rFonts w:ascii="Calibri" w:hAnsi="Calibri" w:cs="Calibri"/>
          <w:noProof/>
          <w:sz w:val="22"/>
        </w:rPr>
        <w:t xml:space="preserve">, </w:t>
      </w:r>
      <w:r w:rsidRPr="007354F1">
        <w:rPr>
          <w:rFonts w:ascii="Calibri" w:hAnsi="Calibri" w:cs="Calibri"/>
          <w:i/>
          <w:iCs/>
          <w:noProof/>
          <w:sz w:val="22"/>
        </w:rPr>
        <w:t>20</w:t>
      </w:r>
      <w:r w:rsidRPr="007354F1">
        <w:rPr>
          <w:rFonts w:ascii="Calibri" w:hAnsi="Calibri" w:cs="Calibri"/>
          <w:noProof/>
          <w:sz w:val="22"/>
        </w:rPr>
        <w:t xml:space="preserve">(01), 127–133. </w:t>
      </w:r>
      <w:hyperlink r:id="rId22" w:history="1">
        <w:r w:rsidRPr="007354F1">
          <w:rPr>
            <w:rStyle w:val="Hyperlink"/>
            <w:rFonts w:ascii="Calibri" w:hAnsi="Calibri" w:cs="Calibri"/>
            <w:noProof/>
            <w:sz w:val="22"/>
          </w:rPr>
          <w:t>https://doi.org/10.56338/iqra.v20i1.6868</w:t>
        </w:r>
      </w:hyperlink>
    </w:p>
    <w:p w14:paraId="2E78ACDB"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Asmariyah, A., Supriyanto, A., &amp; Sobri, A. Y. (2024). The Influence of Learning Facilities on Students’ Academic Achievement at the International Islamic Boarding School Malang. </w:t>
      </w:r>
      <w:r w:rsidRPr="007354F1">
        <w:rPr>
          <w:rFonts w:ascii="Calibri" w:hAnsi="Calibri" w:cs="Calibri"/>
          <w:i/>
          <w:iCs/>
          <w:noProof/>
          <w:sz w:val="22"/>
        </w:rPr>
        <w:t>JMSP: Jurnal Manajemen Dan Supervisi Pendidikan</w:t>
      </w:r>
      <w:r w:rsidRPr="007354F1">
        <w:rPr>
          <w:rFonts w:ascii="Calibri" w:hAnsi="Calibri" w:cs="Calibri"/>
          <w:noProof/>
          <w:sz w:val="22"/>
        </w:rPr>
        <w:t xml:space="preserve">, </w:t>
      </w:r>
      <w:r w:rsidRPr="007354F1">
        <w:rPr>
          <w:rFonts w:ascii="Calibri" w:hAnsi="Calibri" w:cs="Calibri"/>
          <w:i/>
          <w:iCs/>
          <w:noProof/>
          <w:sz w:val="22"/>
        </w:rPr>
        <w:t>9</w:t>
      </w:r>
      <w:r w:rsidRPr="007354F1">
        <w:rPr>
          <w:rFonts w:ascii="Calibri" w:hAnsi="Calibri" w:cs="Calibri"/>
          <w:noProof/>
          <w:sz w:val="22"/>
        </w:rPr>
        <w:t xml:space="preserve">(1), 164–168. </w:t>
      </w:r>
      <w:hyperlink r:id="rId23" w:history="1">
        <w:r w:rsidRPr="007354F1">
          <w:rPr>
            <w:rStyle w:val="Hyperlink"/>
            <w:rFonts w:ascii="Calibri" w:hAnsi="Calibri" w:cs="Calibri"/>
            <w:noProof/>
            <w:sz w:val="22"/>
          </w:rPr>
          <w:t>https://doi.org/http://dx.doi.org/10.17977/um025v9i12024p60</w:t>
        </w:r>
      </w:hyperlink>
    </w:p>
    <w:p w14:paraId="668C1C62"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Astuti, M. S., &amp; Abdullah. (2024). Pendampingan Penerapan Metode Tilawati Pada Siswa Tadarus MAN Kota Palangka Raya. </w:t>
      </w:r>
      <w:r w:rsidRPr="007354F1">
        <w:rPr>
          <w:rFonts w:ascii="Calibri" w:hAnsi="Calibri" w:cs="Calibri"/>
          <w:i/>
          <w:iCs/>
          <w:noProof/>
          <w:sz w:val="22"/>
        </w:rPr>
        <w:t>Pengabdian Masyarakat Bangsa</w:t>
      </w:r>
      <w:r w:rsidRPr="007354F1">
        <w:rPr>
          <w:rFonts w:ascii="Calibri" w:hAnsi="Calibri" w:cs="Calibri"/>
          <w:noProof/>
          <w:sz w:val="22"/>
        </w:rPr>
        <w:t xml:space="preserve">, </w:t>
      </w:r>
      <w:r w:rsidRPr="007354F1">
        <w:rPr>
          <w:rFonts w:ascii="Calibri" w:hAnsi="Calibri" w:cs="Calibri"/>
          <w:i/>
          <w:iCs/>
          <w:noProof/>
          <w:sz w:val="22"/>
        </w:rPr>
        <w:t>2</w:t>
      </w:r>
      <w:r w:rsidRPr="007354F1">
        <w:rPr>
          <w:rFonts w:ascii="Calibri" w:hAnsi="Calibri" w:cs="Calibri"/>
          <w:noProof/>
          <w:sz w:val="22"/>
        </w:rPr>
        <w:t xml:space="preserve">(8), 3614–3621. </w:t>
      </w:r>
      <w:hyperlink r:id="rId24" w:history="1">
        <w:r w:rsidRPr="007354F1">
          <w:rPr>
            <w:rStyle w:val="Hyperlink"/>
            <w:rFonts w:ascii="Calibri" w:hAnsi="Calibri" w:cs="Calibri"/>
            <w:noProof/>
            <w:sz w:val="22"/>
          </w:rPr>
          <w:t>https://doi.org/10.59837/jpmba.v2i8.1527</w:t>
        </w:r>
      </w:hyperlink>
    </w:p>
    <w:p w14:paraId="2829B8BD"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Azwar, B. (2024). Collaborative Efforts of Counseling Teachers in Enhancing Self- Happiness Among Qur ’ an- Memorizing Students : A Case Study. </w:t>
      </w:r>
      <w:r w:rsidRPr="007354F1">
        <w:rPr>
          <w:rFonts w:ascii="Calibri" w:hAnsi="Calibri" w:cs="Calibri"/>
          <w:i/>
          <w:iCs/>
          <w:noProof/>
          <w:sz w:val="22"/>
        </w:rPr>
        <w:t>Al-Ishlah: Jurnal Pendidikan</w:t>
      </w:r>
      <w:r w:rsidRPr="007354F1">
        <w:rPr>
          <w:rFonts w:ascii="Calibri" w:hAnsi="Calibri" w:cs="Calibri"/>
          <w:noProof/>
          <w:sz w:val="22"/>
        </w:rPr>
        <w:t xml:space="preserve">, </w:t>
      </w:r>
      <w:r w:rsidRPr="007354F1">
        <w:rPr>
          <w:rFonts w:ascii="Calibri" w:hAnsi="Calibri" w:cs="Calibri"/>
          <w:i/>
          <w:iCs/>
          <w:noProof/>
          <w:sz w:val="22"/>
        </w:rPr>
        <w:t>16</w:t>
      </w:r>
      <w:r w:rsidRPr="007354F1">
        <w:rPr>
          <w:rFonts w:ascii="Calibri" w:hAnsi="Calibri" w:cs="Calibri"/>
          <w:noProof/>
          <w:sz w:val="22"/>
        </w:rPr>
        <w:t xml:space="preserve">(4), 5243–5253. </w:t>
      </w:r>
      <w:hyperlink r:id="rId25" w:history="1">
        <w:r w:rsidRPr="007354F1">
          <w:rPr>
            <w:rStyle w:val="Hyperlink"/>
            <w:rFonts w:ascii="Calibri" w:hAnsi="Calibri" w:cs="Calibri"/>
            <w:noProof/>
            <w:sz w:val="22"/>
          </w:rPr>
          <w:t>https://doi.org/10.35445/alishlah.v16i4.5763</w:t>
        </w:r>
      </w:hyperlink>
    </w:p>
    <w:p w14:paraId="63A0FC08"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Elvina, E., Ritonga, M., &amp; Lahmi, A. (2021). Islamic Parenting and Motivation from Parents and Its Influence on Children’s Ability to Read the Quran. </w:t>
      </w:r>
      <w:r w:rsidRPr="007354F1">
        <w:rPr>
          <w:rFonts w:ascii="Calibri" w:hAnsi="Calibri" w:cs="Calibri"/>
          <w:i/>
          <w:iCs/>
          <w:noProof/>
          <w:sz w:val="22"/>
        </w:rPr>
        <w:t>Jurnal Tarbiyatuna</w:t>
      </w:r>
      <w:r w:rsidRPr="007354F1">
        <w:rPr>
          <w:rFonts w:ascii="Calibri" w:hAnsi="Calibri" w:cs="Calibri"/>
          <w:noProof/>
          <w:sz w:val="22"/>
        </w:rPr>
        <w:t xml:space="preserve">, </w:t>
      </w:r>
      <w:r w:rsidRPr="007354F1">
        <w:rPr>
          <w:rFonts w:ascii="Calibri" w:hAnsi="Calibri" w:cs="Calibri"/>
          <w:i/>
          <w:iCs/>
          <w:noProof/>
          <w:sz w:val="22"/>
        </w:rPr>
        <w:t>12</w:t>
      </w:r>
      <w:r w:rsidRPr="007354F1">
        <w:rPr>
          <w:rFonts w:ascii="Calibri" w:hAnsi="Calibri" w:cs="Calibri"/>
          <w:noProof/>
          <w:sz w:val="22"/>
        </w:rPr>
        <w:t xml:space="preserve">(2), 121–134. </w:t>
      </w:r>
      <w:hyperlink r:id="rId26" w:history="1">
        <w:r w:rsidRPr="007354F1">
          <w:rPr>
            <w:rStyle w:val="Hyperlink"/>
            <w:rFonts w:ascii="Calibri" w:hAnsi="Calibri" w:cs="Calibri"/>
            <w:noProof/>
            <w:sz w:val="22"/>
          </w:rPr>
          <w:t>https://doi.org/10.31603/tarbiyatuna.v12i2.4996</w:t>
        </w:r>
      </w:hyperlink>
    </w:p>
    <w:p w14:paraId="31F1A2C9"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Fathullah Faris, A., Nur Hadis Rahman, S. A., Talhah Jima, M., Sobri Faisal, M., &amp; Raehan Mustafa, R. (2023). Quranic Reading Proficiency and Factors Affecting Mastery Quran among Public University Students. </w:t>
      </w:r>
      <w:r w:rsidRPr="007354F1">
        <w:rPr>
          <w:rFonts w:ascii="Calibri" w:hAnsi="Calibri" w:cs="Calibri"/>
          <w:i/>
          <w:iCs/>
          <w:noProof/>
          <w:sz w:val="22"/>
        </w:rPr>
        <w:t>BITARA International Journal of Civilizational Studies and Human Sciences</w:t>
      </w:r>
      <w:r w:rsidRPr="007354F1">
        <w:rPr>
          <w:rFonts w:ascii="Calibri" w:hAnsi="Calibri" w:cs="Calibri"/>
          <w:noProof/>
          <w:sz w:val="22"/>
        </w:rPr>
        <w:t xml:space="preserve">, </w:t>
      </w:r>
      <w:r w:rsidRPr="007354F1">
        <w:rPr>
          <w:rFonts w:ascii="Calibri" w:hAnsi="Calibri" w:cs="Calibri"/>
          <w:i/>
          <w:iCs/>
          <w:noProof/>
          <w:sz w:val="22"/>
        </w:rPr>
        <w:t>6</w:t>
      </w:r>
      <w:r w:rsidRPr="007354F1">
        <w:rPr>
          <w:rFonts w:ascii="Calibri" w:hAnsi="Calibri" w:cs="Calibri"/>
          <w:noProof/>
          <w:sz w:val="22"/>
        </w:rPr>
        <w:t xml:space="preserve">(4), 127–138. </w:t>
      </w:r>
      <w:hyperlink r:id="rId27" w:history="1">
        <w:r w:rsidRPr="007354F1">
          <w:rPr>
            <w:rStyle w:val="Hyperlink"/>
            <w:rFonts w:ascii="Calibri" w:hAnsi="Calibri" w:cs="Calibri"/>
            <w:noProof/>
            <w:sz w:val="22"/>
          </w:rPr>
          <w:t>https://doi.org/https://bitarajournal.com/index.php/bitarajournal/article/view/415</w:t>
        </w:r>
      </w:hyperlink>
    </w:p>
    <w:p w14:paraId="1DFED7BB"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Febrian, L. M., Florentina, T., Qolbi, A. D., &amp; Efendi, S. (2025). Peningkatan Kemampuan Membaca Al-Qur’an Melalui Pengajaran Mengaji pada Siswa SMPN 4 Kota Bengkulu. </w:t>
      </w:r>
      <w:r w:rsidRPr="007354F1">
        <w:rPr>
          <w:rFonts w:ascii="Calibri" w:hAnsi="Calibri" w:cs="Calibri"/>
          <w:i/>
          <w:iCs/>
          <w:noProof/>
          <w:sz w:val="22"/>
        </w:rPr>
        <w:t>Fakultas KEguruan Dan Imu Pendidikan Universitas Kristen Indonesia</w:t>
      </w:r>
      <w:r w:rsidRPr="007354F1">
        <w:rPr>
          <w:rFonts w:ascii="Calibri" w:hAnsi="Calibri" w:cs="Calibri"/>
          <w:noProof/>
          <w:sz w:val="22"/>
        </w:rPr>
        <w:t xml:space="preserve">, </w:t>
      </w:r>
      <w:r w:rsidRPr="007354F1">
        <w:rPr>
          <w:rFonts w:ascii="Calibri" w:hAnsi="Calibri" w:cs="Calibri"/>
          <w:i/>
          <w:iCs/>
          <w:noProof/>
          <w:sz w:val="22"/>
        </w:rPr>
        <w:t>6</w:t>
      </w:r>
      <w:r w:rsidRPr="007354F1">
        <w:rPr>
          <w:rFonts w:ascii="Calibri" w:hAnsi="Calibri" w:cs="Calibri"/>
          <w:noProof/>
          <w:sz w:val="22"/>
        </w:rPr>
        <w:t xml:space="preserve">(1), 648–661. </w:t>
      </w:r>
      <w:hyperlink r:id="rId28" w:history="1">
        <w:r w:rsidRPr="007354F1">
          <w:rPr>
            <w:rStyle w:val="Hyperlink"/>
            <w:rFonts w:ascii="Calibri" w:hAnsi="Calibri" w:cs="Calibri"/>
            <w:noProof/>
            <w:sz w:val="22"/>
          </w:rPr>
          <w:t>https://doi.org/https://ejurnals.com/ojs/index.php/jdpn/article/view/1397/1637</w:t>
        </w:r>
      </w:hyperlink>
    </w:p>
    <w:p w14:paraId="54A6EB30"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Fitri Rahmawati, I., Asma, Assyifa Saputri, K., Nisa, L., Siti Nurjanah, L., Nurhayati, R., Qamara Azizah, R., Sulistiawati, &amp; Paloh, S. (2024). Kemampuan Membaca Al-Quran Berdasarkan Gender Pada Fakultas Kedokteran Angkatan 2023 di Universitas Sultan Ageng Tirtayasa. </w:t>
      </w:r>
      <w:r w:rsidRPr="007354F1">
        <w:rPr>
          <w:rFonts w:ascii="Calibri" w:hAnsi="Calibri" w:cs="Calibri"/>
          <w:i/>
          <w:iCs/>
          <w:noProof/>
          <w:sz w:val="22"/>
        </w:rPr>
        <w:t>Jurnal IHSAN Jurnal Pendidikan Islam</w:t>
      </w:r>
      <w:r w:rsidRPr="007354F1">
        <w:rPr>
          <w:rFonts w:ascii="Calibri" w:hAnsi="Calibri" w:cs="Calibri"/>
          <w:noProof/>
          <w:sz w:val="22"/>
        </w:rPr>
        <w:t xml:space="preserve">, </w:t>
      </w:r>
      <w:r w:rsidRPr="007354F1">
        <w:rPr>
          <w:rFonts w:ascii="Calibri" w:hAnsi="Calibri" w:cs="Calibri"/>
          <w:i/>
          <w:iCs/>
          <w:noProof/>
          <w:sz w:val="22"/>
        </w:rPr>
        <w:t>2</w:t>
      </w:r>
      <w:r w:rsidRPr="007354F1">
        <w:rPr>
          <w:rFonts w:ascii="Calibri" w:hAnsi="Calibri" w:cs="Calibri"/>
          <w:noProof/>
          <w:sz w:val="22"/>
        </w:rPr>
        <w:t xml:space="preserve">(2), 52–59. </w:t>
      </w:r>
      <w:hyperlink r:id="rId29" w:history="1">
        <w:r w:rsidRPr="007354F1">
          <w:rPr>
            <w:rStyle w:val="Hyperlink"/>
            <w:rFonts w:ascii="Calibri" w:hAnsi="Calibri" w:cs="Calibri"/>
            <w:noProof/>
            <w:sz w:val="22"/>
          </w:rPr>
          <w:t>https://doi.org/10.61104/ihsan.v2i2.117</w:t>
        </w:r>
      </w:hyperlink>
    </w:p>
    <w:p w14:paraId="22996A81"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Fitriani, F., Susanti, W., &amp; Putri, N. (2024). Five Challenges of Quran Learning in Islamic Education Institutions. </w:t>
      </w:r>
      <w:r w:rsidRPr="007354F1">
        <w:rPr>
          <w:rFonts w:ascii="Calibri" w:hAnsi="Calibri" w:cs="Calibri"/>
          <w:i/>
          <w:iCs/>
          <w:noProof/>
          <w:sz w:val="22"/>
        </w:rPr>
        <w:t>Journal of Quranic Teaching and Learning</w:t>
      </w:r>
      <w:r w:rsidRPr="007354F1">
        <w:rPr>
          <w:rFonts w:ascii="Calibri" w:hAnsi="Calibri" w:cs="Calibri"/>
          <w:noProof/>
          <w:sz w:val="22"/>
        </w:rPr>
        <w:t xml:space="preserve">, </w:t>
      </w:r>
      <w:r w:rsidRPr="007354F1">
        <w:rPr>
          <w:rFonts w:ascii="Calibri" w:hAnsi="Calibri" w:cs="Calibri"/>
          <w:i/>
          <w:iCs/>
          <w:noProof/>
          <w:sz w:val="22"/>
        </w:rPr>
        <w:t>1</w:t>
      </w:r>
      <w:r w:rsidRPr="007354F1">
        <w:rPr>
          <w:rFonts w:ascii="Calibri" w:hAnsi="Calibri" w:cs="Calibri"/>
          <w:noProof/>
          <w:sz w:val="22"/>
        </w:rPr>
        <w:t xml:space="preserve">(1), 1–10. </w:t>
      </w:r>
      <w:hyperlink r:id="rId30" w:history="1">
        <w:r w:rsidRPr="007354F1">
          <w:rPr>
            <w:rStyle w:val="Hyperlink"/>
            <w:rFonts w:ascii="Calibri" w:hAnsi="Calibri" w:cs="Calibri"/>
            <w:noProof/>
            <w:sz w:val="22"/>
          </w:rPr>
          <w:t>https://doi.org/https://joqer.intischolar.id/index.php/joqer/article/view/4</w:t>
        </w:r>
      </w:hyperlink>
    </w:p>
    <w:p w14:paraId="72979713"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Gaya, S., &amp; Ahmad, N. (2024). The Concept of Islamic Identity and Its Importance for Muslim Youth. </w:t>
      </w:r>
      <w:r w:rsidRPr="007354F1">
        <w:rPr>
          <w:rFonts w:ascii="Calibri" w:hAnsi="Calibri" w:cs="Calibri"/>
          <w:i/>
          <w:iCs/>
          <w:noProof/>
          <w:sz w:val="22"/>
        </w:rPr>
        <w:t>Jurnal Hukum Pidana Dan Ketatanegaraan</w:t>
      </w:r>
      <w:r w:rsidRPr="007354F1">
        <w:rPr>
          <w:rFonts w:ascii="Calibri" w:hAnsi="Calibri" w:cs="Calibri"/>
          <w:noProof/>
          <w:sz w:val="22"/>
        </w:rPr>
        <w:t xml:space="preserve">, </w:t>
      </w:r>
      <w:r w:rsidRPr="007354F1">
        <w:rPr>
          <w:rFonts w:ascii="Calibri" w:hAnsi="Calibri" w:cs="Calibri"/>
          <w:i/>
          <w:iCs/>
          <w:noProof/>
          <w:sz w:val="22"/>
        </w:rPr>
        <w:t>13</w:t>
      </w:r>
      <w:r w:rsidRPr="007354F1">
        <w:rPr>
          <w:rFonts w:ascii="Calibri" w:hAnsi="Calibri" w:cs="Calibri"/>
          <w:noProof/>
          <w:sz w:val="22"/>
        </w:rPr>
        <w:t xml:space="preserve">(1), 34–49. </w:t>
      </w:r>
      <w:hyperlink r:id="rId31" w:history="1">
        <w:r w:rsidRPr="007354F1">
          <w:rPr>
            <w:rStyle w:val="Hyperlink"/>
            <w:rFonts w:ascii="Calibri" w:hAnsi="Calibri" w:cs="Calibri"/>
            <w:noProof/>
            <w:sz w:val="22"/>
          </w:rPr>
          <w:t>https://doi.org/10.24252/al-daulah.</w:t>
        </w:r>
      </w:hyperlink>
    </w:p>
    <w:p w14:paraId="3C8BA74B"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Hanafi, M. A., Somad, M. A., Romli, U., &amp; Almasi, M. (2024). Strategy to Improve al-Quran Reading and Writing Skills in Public Schools. </w:t>
      </w:r>
      <w:r w:rsidRPr="007354F1">
        <w:rPr>
          <w:rFonts w:ascii="Calibri" w:hAnsi="Calibri" w:cs="Calibri"/>
          <w:i/>
          <w:iCs/>
          <w:noProof/>
          <w:sz w:val="22"/>
        </w:rPr>
        <w:t>Journal of Islamic Education Research</w:t>
      </w:r>
      <w:r w:rsidRPr="007354F1">
        <w:rPr>
          <w:rFonts w:ascii="Calibri" w:hAnsi="Calibri" w:cs="Calibri"/>
          <w:noProof/>
          <w:sz w:val="22"/>
        </w:rPr>
        <w:t xml:space="preserve">, </w:t>
      </w:r>
      <w:r w:rsidRPr="007354F1">
        <w:rPr>
          <w:rFonts w:ascii="Calibri" w:hAnsi="Calibri" w:cs="Calibri"/>
          <w:i/>
          <w:iCs/>
          <w:noProof/>
          <w:sz w:val="22"/>
        </w:rPr>
        <w:t>5</w:t>
      </w:r>
      <w:r w:rsidRPr="007354F1">
        <w:rPr>
          <w:rFonts w:ascii="Calibri" w:hAnsi="Calibri" w:cs="Calibri"/>
          <w:noProof/>
          <w:sz w:val="22"/>
        </w:rPr>
        <w:t>(3), 239–252.</w:t>
      </w:r>
      <w:r>
        <w:rPr>
          <w:rFonts w:ascii="Calibri" w:hAnsi="Calibri" w:cs="Calibri"/>
          <w:noProof/>
          <w:sz w:val="22"/>
        </w:rPr>
        <w:t xml:space="preserve"> </w:t>
      </w:r>
      <w:hyperlink r:id="rId32" w:history="1">
        <w:r w:rsidRPr="007354F1">
          <w:rPr>
            <w:rStyle w:val="Hyperlink"/>
            <w:rFonts w:ascii="Calibri" w:hAnsi="Calibri" w:cs="Calibri"/>
            <w:noProof/>
            <w:sz w:val="22"/>
          </w:rPr>
          <w:t>https://doi.org/10.35719/jier.v5i3.450</w:t>
        </w:r>
      </w:hyperlink>
    </w:p>
    <w:p w14:paraId="549DB798"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Hanafi, M., &amp; Pohan, S. (2024). Enhancing Quranic Literacy : The Role Teacher and Parental Involvement in Quran Learning. </w:t>
      </w:r>
      <w:r w:rsidRPr="007354F1">
        <w:rPr>
          <w:rFonts w:ascii="Calibri" w:hAnsi="Calibri" w:cs="Calibri"/>
          <w:i/>
          <w:iCs/>
          <w:noProof/>
          <w:sz w:val="22"/>
        </w:rPr>
        <w:t>FIKROTUNA; Jurnal Pendidikan Dan Manajemen Islam</w:t>
      </w:r>
      <w:r w:rsidRPr="007354F1">
        <w:rPr>
          <w:rFonts w:ascii="Calibri" w:hAnsi="Calibri" w:cs="Calibri"/>
          <w:noProof/>
          <w:sz w:val="22"/>
        </w:rPr>
        <w:t xml:space="preserve">, </w:t>
      </w:r>
      <w:r w:rsidRPr="007354F1">
        <w:rPr>
          <w:rFonts w:ascii="Calibri" w:hAnsi="Calibri" w:cs="Calibri"/>
          <w:i/>
          <w:iCs/>
          <w:noProof/>
          <w:sz w:val="22"/>
        </w:rPr>
        <w:t>14</w:t>
      </w:r>
      <w:r w:rsidRPr="007354F1">
        <w:rPr>
          <w:rFonts w:ascii="Calibri" w:hAnsi="Calibri" w:cs="Calibri"/>
          <w:noProof/>
          <w:sz w:val="22"/>
        </w:rPr>
        <w:t xml:space="preserve">(2), 189–202. </w:t>
      </w:r>
      <w:hyperlink r:id="rId33" w:history="1">
        <w:r w:rsidRPr="007354F1">
          <w:rPr>
            <w:rStyle w:val="Hyperlink"/>
            <w:rFonts w:ascii="Calibri" w:hAnsi="Calibri" w:cs="Calibri"/>
            <w:noProof/>
            <w:sz w:val="22"/>
          </w:rPr>
          <w:t>https://doi.org/http://dx.doi.org/10.32806/jf.v14i2.611</w:t>
        </w:r>
      </w:hyperlink>
    </w:p>
    <w:p w14:paraId="419929C5"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lastRenderedPageBreak/>
        <w:t xml:space="preserve">Harta, M. (2020). Role of Al-Qur’an Read and Write Ability toward Achievement of Islamic Education for Students at SDN Inpres 12/79 Kampuno Attobaja Village Barebbo Sub-District Bone Regency. </w:t>
      </w:r>
      <w:r w:rsidRPr="007354F1">
        <w:rPr>
          <w:rFonts w:ascii="Calibri" w:hAnsi="Calibri" w:cs="Calibri"/>
          <w:i/>
          <w:iCs/>
          <w:noProof/>
          <w:sz w:val="22"/>
        </w:rPr>
        <w:t>Journal of Islam and Science</w:t>
      </w:r>
      <w:r w:rsidRPr="007354F1">
        <w:rPr>
          <w:rFonts w:ascii="Calibri" w:hAnsi="Calibri" w:cs="Calibri"/>
          <w:noProof/>
          <w:sz w:val="22"/>
        </w:rPr>
        <w:t xml:space="preserve">, </w:t>
      </w:r>
      <w:r w:rsidRPr="007354F1">
        <w:rPr>
          <w:rFonts w:ascii="Calibri" w:hAnsi="Calibri" w:cs="Calibri"/>
          <w:i/>
          <w:iCs/>
          <w:noProof/>
          <w:sz w:val="22"/>
        </w:rPr>
        <w:t>7</w:t>
      </w:r>
      <w:r w:rsidRPr="007354F1">
        <w:rPr>
          <w:rFonts w:ascii="Calibri" w:hAnsi="Calibri" w:cs="Calibri"/>
          <w:noProof/>
          <w:sz w:val="22"/>
        </w:rPr>
        <w:t xml:space="preserve">(1), 49–54. </w:t>
      </w:r>
      <w:hyperlink r:id="rId34" w:history="1">
        <w:r w:rsidRPr="007354F1">
          <w:rPr>
            <w:rStyle w:val="Hyperlink"/>
            <w:rFonts w:ascii="Calibri" w:hAnsi="Calibri" w:cs="Calibri"/>
            <w:noProof/>
            <w:sz w:val="22"/>
          </w:rPr>
          <w:t>https://doi.org/10.24252/jis.v7i1.15035</w:t>
        </w:r>
      </w:hyperlink>
    </w:p>
    <w:p w14:paraId="2BE44575"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Hartati, Z. (2017). </w:t>
      </w:r>
      <w:r w:rsidRPr="007354F1">
        <w:rPr>
          <w:rFonts w:ascii="Calibri" w:hAnsi="Calibri" w:cs="Calibri"/>
          <w:i/>
          <w:iCs/>
          <w:noProof/>
          <w:sz w:val="22"/>
        </w:rPr>
        <w:t>Tasyrifin Karim, Merintis Pengembangan Baca Al-Qur‟An Untuk Orang Dewasa</w:t>
      </w:r>
      <w:r w:rsidRPr="007354F1">
        <w:rPr>
          <w:rFonts w:ascii="Calibri" w:hAnsi="Calibri" w:cs="Calibri"/>
          <w:noProof/>
          <w:sz w:val="22"/>
        </w:rPr>
        <w:t xml:space="preserve"> (1st ed.). FTIK IAIN Salatiga.</w:t>
      </w:r>
      <w:r>
        <w:rPr>
          <w:rFonts w:ascii="Calibri" w:hAnsi="Calibri" w:cs="Calibri"/>
          <w:noProof/>
          <w:sz w:val="22"/>
        </w:rPr>
        <w:t xml:space="preserve"> </w:t>
      </w:r>
      <w:hyperlink r:id="rId35" w:history="1">
        <w:r w:rsidRPr="007354F1">
          <w:rPr>
            <w:rStyle w:val="Hyperlink"/>
            <w:rFonts w:ascii="Calibri" w:hAnsi="Calibri" w:cs="Calibri"/>
            <w:noProof/>
            <w:sz w:val="22"/>
          </w:rPr>
          <w:t>http://digilib.iain-palangkaraya.ac.id/1669/1/PROCEEDINGS%20ICIIES%20-Book%20TWO.pdf</w:t>
        </w:r>
      </w:hyperlink>
    </w:p>
    <w:p w14:paraId="6F4959A4"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Hartati, Z., Emawati, E., &amp; Dalimunte, L. A. (2016). Metodologi Baca Tulis Al-Quran: Refleksi Belajar Al-Quran Pada Mahasiswa IAIN Palangkaraya. </w:t>
      </w:r>
      <w:r w:rsidRPr="007354F1">
        <w:rPr>
          <w:rFonts w:ascii="Calibri" w:hAnsi="Calibri" w:cs="Calibri"/>
          <w:i/>
          <w:iCs/>
          <w:noProof/>
          <w:sz w:val="22"/>
        </w:rPr>
        <w:t>MISYKAT: Jurnal Ilmu-Ilmu Al-Quran, Hadist, Syari’ah Dan Tarbiyah</w:t>
      </w:r>
      <w:r w:rsidRPr="007354F1">
        <w:rPr>
          <w:rFonts w:ascii="Calibri" w:hAnsi="Calibri" w:cs="Calibri"/>
          <w:noProof/>
          <w:sz w:val="22"/>
        </w:rPr>
        <w:t xml:space="preserve">, </w:t>
      </w:r>
      <w:r w:rsidRPr="007354F1">
        <w:rPr>
          <w:rFonts w:ascii="Calibri" w:hAnsi="Calibri" w:cs="Calibri"/>
          <w:i/>
          <w:iCs/>
          <w:noProof/>
          <w:sz w:val="22"/>
        </w:rPr>
        <w:t>1</w:t>
      </w:r>
      <w:r w:rsidRPr="007354F1">
        <w:rPr>
          <w:rFonts w:ascii="Calibri" w:hAnsi="Calibri" w:cs="Calibri"/>
          <w:noProof/>
          <w:sz w:val="22"/>
        </w:rPr>
        <w:t xml:space="preserve">(1), 181. </w:t>
      </w:r>
      <w:hyperlink r:id="rId36" w:history="1">
        <w:r w:rsidRPr="007354F1">
          <w:rPr>
            <w:rStyle w:val="Hyperlink"/>
            <w:rFonts w:ascii="Calibri" w:hAnsi="Calibri" w:cs="Calibri"/>
            <w:noProof/>
            <w:sz w:val="22"/>
          </w:rPr>
          <w:t>https://doi.org/10.33511/misykat.v1n1.181</w:t>
        </w:r>
      </w:hyperlink>
    </w:p>
    <w:p w14:paraId="6C00D4FF"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Hidayat, S., Amirsyah, A., Affandi, L., &amp; Rahmat, M. (2022). The Impact of the Digital Al-Qur’an Thematic Learning Model on the Learning Achievement of Santri at Islamic Boarding Schools in Bandung Regency. </w:t>
      </w:r>
      <w:r w:rsidRPr="007354F1">
        <w:rPr>
          <w:rFonts w:ascii="Calibri" w:hAnsi="Calibri" w:cs="Calibri"/>
          <w:i/>
          <w:iCs/>
          <w:noProof/>
          <w:sz w:val="22"/>
        </w:rPr>
        <w:t>QALAMUNA: Jurnal Pendidikan, Sosial, Dan Agama</w:t>
      </w:r>
      <w:r w:rsidRPr="007354F1">
        <w:rPr>
          <w:rFonts w:ascii="Calibri" w:hAnsi="Calibri" w:cs="Calibri"/>
          <w:noProof/>
          <w:sz w:val="22"/>
        </w:rPr>
        <w:t xml:space="preserve">, </w:t>
      </w:r>
      <w:r w:rsidRPr="007354F1">
        <w:rPr>
          <w:rFonts w:ascii="Calibri" w:hAnsi="Calibri" w:cs="Calibri"/>
          <w:i/>
          <w:iCs/>
          <w:noProof/>
          <w:sz w:val="22"/>
        </w:rPr>
        <w:t>14</w:t>
      </w:r>
      <w:r w:rsidRPr="007354F1">
        <w:rPr>
          <w:rFonts w:ascii="Calibri" w:hAnsi="Calibri" w:cs="Calibri"/>
          <w:noProof/>
          <w:sz w:val="22"/>
        </w:rPr>
        <w:t xml:space="preserve">(2), 947–960. </w:t>
      </w:r>
      <w:hyperlink r:id="rId37" w:history="1">
        <w:r w:rsidRPr="007354F1">
          <w:rPr>
            <w:rStyle w:val="Hyperlink"/>
            <w:rFonts w:ascii="Calibri" w:hAnsi="Calibri" w:cs="Calibri"/>
            <w:noProof/>
            <w:sz w:val="22"/>
          </w:rPr>
          <w:t>https://doi.org/10.37680/qalamuna.v14i2.3764</w:t>
        </w:r>
      </w:hyperlink>
    </w:p>
    <w:p w14:paraId="76F8348B"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Ibnu, M., Rahmawati, S., Ridwansyah, R. S., Kariadinata, R., &amp; Susilawati, W. (2023). Influence of the Talaqi and Tahsin Methods on the Al-Qur’an Reading Ability of Santri at the Al-Falah Islamic Boarding School Nagreg Bandung. </w:t>
      </w:r>
      <w:r w:rsidRPr="007354F1">
        <w:rPr>
          <w:rFonts w:ascii="Calibri" w:hAnsi="Calibri" w:cs="Calibri"/>
          <w:i/>
          <w:iCs/>
          <w:noProof/>
          <w:sz w:val="22"/>
        </w:rPr>
        <w:t>Journal of Modern Islamic Studies and Civilization</w:t>
      </w:r>
      <w:r w:rsidRPr="007354F1">
        <w:rPr>
          <w:rFonts w:ascii="Calibri" w:hAnsi="Calibri" w:cs="Calibri"/>
          <w:noProof/>
          <w:sz w:val="22"/>
        </w:rPr>
        <w:t xml:space="preserve">, </w:t>
      </w:r>
      <w:r w:rsidRPr="007354F1">
        <w:rPr>
          <w:rFonts w:ascii="Calibri" w:hAnsi="Calibri" w:cs="Calibri"/>
          <w:i/>
          <w:iCs/>
          <w:noProof/>
          <w:sz w:val="22"/>
        </w:rPr>
        <w:t>1</w:t>
      </w:r>
      <w:r w:rsidRPr="007354F1">
        <w:rPr>
          <w:rFonts w:ascii="Calibri" w:hAnsi="Calibri" w:cs="Calibri"/>
          <w:noProof/>
          <w:sz w:val="22"/>
        </w:rPr>
        <w:t xml:space="preserve">(03), 124–137. </w:t>
      </w:r>
      <w:hyperlink r:id="rId38" w:history="1">
        <w:r w:rsidRPr="007354F1">
          <w:rPr>
            <w:rStyle w:val="Hyperlink"/>
            <w:rFonts w:ascii="Calibri" w:hAnsi="Calibri" w:cs="Calibri"/>
            <w:noProof/>
            <w:sz w:val="22"/>
          </w:rPr>
          <w:t>https://doi.org/10.59653/jmisc.v1i03.280</w:t>
        </w:r>
      </w:hyperlink>
    </w:p>
    <w:p w14:paraId="2B04A6B8" w14:textId="77777777" w:rsidR="00DB5D7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Ihsanuddin, I., Abdullah, A., &amp; Jainah, J. (2024). Pelatihan Menulis Huruf Hijaiyah melalui Media Papan Flanel untuk Meningkatkan Keterampilan Menulis Huruf Hijaiyah Siswa di SD IT Al-Ghazali Palangka Raya. </w:t>
      </w:r>
      <w:r w:rsidRPr="007354F1">
        <w:rPr>
          <w:rFonts w:ascii="Calibri" w:hAnsi="Calibri" w:cs="Calibri"/>
          <w:i/>
          <w:iCs/>
          <w:noProof/>
          <w:sz w:val="22"/>
        </w:rPr>
        <w:t>Jurnal Pelayanan Masyarakat</w:t>
      </w:r>
      <w:r w:rsidRPr="007354F1">
        <w:rPr>
          <w:rFonts w:ascii="Calibri" w:hAnsi="Calibri" w:cs="Calibri"/>
          <w:noProof/>
          <w:sz w:val="22"/>
        </w:rPr>
        <w:t xml:space="preserve">, </w:t>
      </w:r>
      <w:r w:rsidRPr="007354F1">
        <w:rPr>
          <w:rFonts w:ascii="Calibri" w:hAnsi="Calibri" w:cs="Calibri"/>
          <w:i/>
          <w:iCs/>
          <w:noProof/>
          <w:sz w:val="22"/>
        </w:rPr>
        <w:t>1</w:t>
      </w:r>
      <w:r w:rsidRPr="007354F1">
        <w:rPr>
          <w:rFonts w:ascii="Calibri" w:hAnsi="Calibri" w:cs="Calibri"/>
          <w:noProof/>
          <w:sz w:val="22"/>
        </w:rPr>
        <w:t>(4), 99–206.</w:t>
      </w:r>
      <w:r>
        <w:rPr>
          <w:rFonts w:ascii="Calibri" w:hAnsi="Calibri" w:cs="Calibri"/>
          <w:noProof/>
          <w:sz w:val="22"/>
        </w:rPr>
        <w:t xml:space="preserve"> </w:t>
      </w:r>
      <w:hyperlink r:id="rId39" w:history="1">
        <w:r w:rsidRPr="007354F1">
          <w:rPr>
            <w:rStyle w:val="Hyperlink"/>
            <w:rFonts w:ascii="Calibri" w:hAnsi="Calibri" w:cs="Calibri"/>
            <w:noProof/>
            <w:sz w:val="22"/>
          </w:rPr>
          <w:t>https://doi.org/10.62951/jpm.v1i4.921</w:t>
        </w:r>
      </w:hyperlink>
    </w:p>
    <w:p w14:paraId="17D7E80D" w14:textId="52848FF3"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DB5D71">
        <w:rPr>
          <w:rFonts w:ascii="Calibri" w:hAnsi="Calibri" w:cs="Calibri"/>
          <w:noProof/>
          <w:sz w:val="22"/>
        </w:rPr>
        <w:t xml:space="preserve">Japeri, J., Rahmi, E., Izmi, N., Irayanti, I., &amp; Eki Saputri, T. (2023). Identifying Student Motivation for Learning Islamic Education in Indonesian Senior High Schools. </w:t>
      </w:r>
      <w:r w:rsidRPr="00DB5D71">
        <w:rPr>
          <w:rFonts w:ascii="Calibri" w:hAnsi="Calibri" w:cs="Calibri"/>
          <w:i/>
          <w:iCs/>
          <w:noProof/>
          <w:sz w:val="22"/>
        </w:rPr>
        <w:t>Ahlussunnah: Journal of Islamic Education</w:t>
      </w:r>
      <w:r w:rsidRPr="00DB5D71">
        <w:rPr>
          <w:rFonts w:ascii="Calibri" w:hAnsi="Calibri" w:cs="Calibri"/>
          <w:noProof/>
          <w:sz w:val="22"/>
        </w:rPr>
        <w:t xml:space="preserve">, </w:t>
      </w:r>
      <w:r w:rsidRPr="00DB5D71">
        <w:rPr>
          <w:rFonts w:ascii="Calibri" w:hAnsi="Calibri" w:cs="Calibri"/>
          <w:i/>
          <w:iCs/>
          <w:noProof/>
          <w:sz w:val="22"/>
        </w:rPr>
        <w:t>2</w:t>
      </w:r>
      <w:r w:rsidRPr="00DB5D71">
        <w:rPr>
          <w:rFonts w:ascii="Calibri" w:hAnsi="Calibri" w:cs="Calibri"/>
          <w:noProof/>
          <w:sz w:val="22"/>
        </w:rPr>
        <w:t xml:space="preserve">(1), 26–34. </w:t>
      </w:r>
      <w:hyperlink r:id="rId40" w:history="1">
        <w:r w:rsidRPr="00DB5D71">
          <w:rPr>
            <w:rStyle w:val="Hyperlink"/>
            <w:rFonts w:ascii="Calibri" w:hAnsi="Calibri" w:cs="Calibri"/>
            <w:noProof/>
            <w:sz w:val="22"/>
          </w:rPr>
          <w:t>https://doi.org/10.58485/jie.v2i1.188</w:t>
        </w:r>
      </w:hyperlink>
    </w:p>
    <w:p w14:paraId="6C7C9BCF"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Kahfi, N. S., Raharjo, R., &amp; Ikhrom, I. (2024). The Effect of Qiroati and Non Qiroati Methods in Improving Students ’ Ability to Read and Write the Qur ’ an at TPQ Al-Ikhlas. </w:t>
      </w:r>
      <w:r w:rsidRPr="007354F1">
        <w:rPr>
          <w:rFonts w:ascii="Calibri" w:hAnsi="Calibri" w:cs="Calibri"/>
          <w:i/>
          <w:iCs/>
          <w:noProof/>
          <w:sz w:val="22"/>
        </w:rPr>
        <w:t>Journal on Education</w:t>
      </w:r>
      <w:r w:rsidRPr="007354F1">
        <w:rPr>
          <w:rFonts w:ascii="Calibri" w:hAnsi="Calibri" w:cs="Calibri"/>
          <w:noProof/>
          <w:sz w:val="22"/>
        </w:rPr>
        <w:t xml:space="preserve">, </w:t>
      </w:r>
      <w:r w:rsidRPr="007354F1">
        <w:rPr>
          <w:rFonts w:ascii="Calibri" w:hAnsi="Calibri" w:cs="Calibri"/>
          <w:i/>
          <w:iCs/>
          <w:noProof/>
          <w:sz w:val="22"/>
        </w:rPr>
        <w:t>6</w:t>
      </w:r>
      <w:r w:rsidRPr="007354F1">
        <w:rPr>
          <w:rFonts w:ascii="Calibri" w:hAnsi="Calibri" w:cs="Calibri"/>
          <w:noProof/>
          <w:sz w:val="22"/>
        </w:rPr>
        <w:t xml:space="preserve">(4), 22416–22423. </w:t>
      </w:r>
      <w:hyperlink r:id="rId41" w:history="1">
        <w:r w:rsidRPr="00562236">
          <w:rPr>
            <w:rStyle w:val="Hyperlink"/>
            <w:rFonts w:ascii="Calibri" w:hAnsi="Calibri" w:cs="Calibri"/>
            <w:noProof/>
            <w:sz w:val="22"/>
          </w:rPr>
          <w:t>https://doi.org/10.31004/joe.v6i4.6413</w:t>
        </w:r>
      </w:hyperlink>
    </w:p>
    <w:p w14:paraId="03725288"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Kartika, M., &amp; Alfurqan. (2022). Problematika Peserta Didik dalam Membaca Al-Qur’an di SMP Negeri 1 Lembah Melintang. </w:t>
      </w:r>
      <w:r w:rsidRPr="007354F1">
        <w:rPr>
          <w:rFonts w:ascii="Calibri" w:hAnsi="Calibri" w:cs="Calibri"/>
          <w:i/>
          <w:iCs/>
          <w:noProof/>
          <w:sz w:val="22"/>
        </w:rPr>
        <w:t>Jurnal Pendidikan Tambusai</w:t>
      </w:r>
      <w:r w:rsidRPr="007354F1">
        <w:rPr>
          <w:rFonts w:ascii="Calibri" w:hAnsi="Calibri" w:cs="Calibri"/>
          <w:noProof/>
          <w:sz w:val="22"/>
        </w:rPr>
        <w:t xml:space="preserve">, </w:t>
      </w:r>
      <w:r w:rsidRPr="007354F1">
        <w:rPr>
          <w:rFonts w:ascii="Calibri" w:hAnsi="Calibri" w:cs="Calibri"/>
          <w:i/>
          <w:iCs/>
          <w:noProof/>
          <w:sz w:val="22"/>
        </w:rPr>
        <w:t>6</w:t>
      </w:r>
      <w:r w:rsidRPr="007354F1">
        <w:rPr>
          <w:rFonts w:ascii="Calibri" w:hAnsi="Calibri" w:cs="Calibri"/>
          <w:noProof/>
          <w:sz w:val="22"/>
        </w:rPr>
        <w:t xml:space="preserve">(2), 9378–9385. </w:t>
      </w:r>
      <w:hyperlink r:id="rId42" w:history="1">
        <w:r w:rsidRPr="007354F1">
          <w:rPr>
            <w:rStyle w:val="Hyperlink"/>
            <w:rFonts w:ascii="Calibri" w:hAnsi="Calibri" w:cs="Calibri"/>
            <w:noProof/>
            <w:sz w:val="22"/>
          </w:rPr>
          <w:t>https://doi.org/10.31004/jptam.v6i2.3895</w:t>
        </w:r>
      </w:hyperlink>
    </w:p>
    <w:p w14:paraId="53D4E879"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Khoirurrizki, A. A., &amp; Bustam, B. M. R. (2023). Analysis of Low Interest in Reading the Qur’an in School Age Children. </w:t>
      </w:r>
      <w:r w:rsidRPr="007354F1">
        <w:rPr>
          <w:rFonts w:ascii="Calibri" w:hAnsi="Calibri" w:cs="Calibri"/>
          <w:i/>
          <w:iCs/>
          <w:noProof/>
          <w:sz w:val="22"/>
        </w:rPr>
        <w:t>Jurnal Ilmu Pendidikan Dan Sosial</w:t>
      </w:r>
      <w:r w:rsidRPr="007354F1">
        <w:rPr>
          <w:rFonts w:ascii="Calibri" w:hAnsi="Calibri" w:cs="Calibri"/>
          <w:noProof/>
          <w:sz w:val="22"/>
        </w:rPr>
        <w:t xml:space="preserve">, </w:t>
      </w:r>
      <w:r w:rsidRPr="007354F1">
        <w:rPr>
          <w:rFonts w:ascii="Calibri" w:hAnsi="Calibri" w:cs="Calibri"/>
          <w:i/>
          <w:iCs/>
          <w:noProof/>
          <w:sz w:val="22"/>
        </w:rPr>
        <w:t>1</w:t>
      </w:r>
      <w:r w:rsidRPr="007354F1">
        <w:rPr>
          <w:rFonts w:ascii="Calibri" w:hAnsi="Calibri" w:cs="Calibri"/>
          <w:noProof/>
          <w:sz w:val="22"/>
        </w:rPr>
        <w:t xml:space="preserve">(1), 47–59. </w:t>
      </w:r>
      <w:hyperlink r:id="rId43" w:history="1">
        <w:r w:rsidRPr="007354F1">
          <w:rPr>
            <w:rStyle w:val="Hyperlink"/>
            <w:rFonts w:ascii="Calibri" w:hAnsi="Calibri" w:cs="Calibri"/>
            <w:noProof/>
            <w:sz w:val="22"/>
          </w:rPr>
          <w:t>https://doi.org/10.58540/jipsi.v1i1.12</w:t>
        </w:r>
      </w:hyperlink>
    </w:p>
    <w:p w14:paraId="29E74539"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Khotimah, H., &amp; Maslikhatun, N. (2024). Global Challenges in Elementary Qur’an Memorization Tantangan. </w:t>
      </w:r>
      <w:r w:rsidRPr="007354F1">
        <w:rPr>
          <w:rFonts w:ascii="Calibri" w:hAnsi="Calibri" w:cs="Calibri"/>
          <w:i/>
          <w:iCs/>
          <w:noProof/>
          <w:sz w:val="22"/>
        </w:rPr>
        <w:t>Indonesian Journal of Law and Economics Review</w:t>
      </w:r>
      <w:r w:rsidRPr="007354F1">
        <w:rPr>
          <w:rFonts w:ascii="Calibri" w:hAnsi="Calibri" w:cs="Calibri"/>
          <w:noProof/>
          <w:sz w:val="22"/>
        </w:rPr>
        <w:t xml:space="preserve">, </w:t>
      </w:r>
      <w:r w:rsidRPr="007354F1">
        <w:rPr>
          <w:rFonts w:ascii="Calibri" w:hAnsi="Calibri" w:cs="Calibri"/>
          <w:i/>
          <w:iCs/>
          <w:noProof/>
          <w:sz w:val="22"/>
        </w:rPr>
        <w:t>12</w:t>
      </w:r>
      <w:r w:rsidRPr="007354F1">
        <w:rPr>
          <w:rFonts w:ascii="Calibri" w:hAnsi="Calibri" w:cs="Calibri"/>
          <w:noProof/>
          <w:sz w:val="22"/>
        </w:rPr>
        <w:t xml:space="preserve">(2), 6–13. </w:t>
      </w:r>
      <w:hyperlink r:id="rId44" w:history="1">
        <w:r w:rsidRPr="007354F1">
          <w:rPr>
            <w:rStyle w:val="Hyperlink"/>
            <w:rFonts w:ascii="Calibri" w:hAnsi="Calibri" w:cs="Calibri"/>
            <w:noProof/>
            <w:sz w:val="22"/>
          </w:rPr>
          <w:t>https://doi.org/10.21070/ijis.v12i2.1718</w:t>
        </w:r>
      </w:hyperlink>
    </w:p>
    <w:p w14:paraId="28575853"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Kusmita, R., Hartati, Z., &amp; Alfajar, E. (2024). Pendampingan Metode Tilawati Untuk Meningkatkan Kualitas Membaca Al-Qur’an Di SMPN 8 Palangkaraya. </w:t>
      </w:r>
      <w:r w:rsidRPr="007354F1">
        <w:rPr>
          <w:rFonts w:ascii="Calibri" w:hAnsi="Calibri" w:cs="Calibri"/>
          <w:i/>
          <w:iCs/>
          <w:noProof/>
          <w:sz w:val="22"/>
        </w:rPr>
        <w:t>GEMBIRA</w:t>
      </w:r>
      <w:r w:rsidRPr="007354F1">
        <w:rPr>
          <w:rFonts w:ascii="Calibri" w:hAnsi="Calibri" w:cs="Calibri"/>
          <w:noProof/>
          <w:sz w:val="22"/>
        </w:rPr>
        <w:t xml:space="preserve">, </w:t>
      </w:r>
      <w:r w:rsidRPr="007354F1">
        <w:rPr>
          <w:rFonts w:ascii="Calibri" w:hAnsi="Calibri" w:cs="Calibri"/>
          <w:i/>
          <w:iCs/>
          <w:noProof/>
          <w:sz w:val="22"/>
        </w:rPr>
        <w:t>2</w:t>
      </w:r>
      <w:r w:rsidRPr="007354F1">
        <w:rPr>
          <w:rFonts w:ascii="Calibri" w:hAnsi="Calibri" w:cs="Calibri"/>
          <w:noProof/>
          <w:sz w:val="22"/>
        </w:rPr>
        <w:t>(5), 1761–1769.</w:t>
      </w:r>
      <w:r>
        <w:rPr>
          <w:rFonts w:ascii="Calibri" w:hAnsi="Calibri" w:cs="Calibri"/>
          <w:noProof/>
          <w:sz w:val="22"/>
        </w:rPr>
        <w:t xml:space="preserve"> </w:t>
      </w:r>
      <w:hyperlink r:id="rId45" w:history="1">
        <w:r w:rsidRPr="00562236">
          <w:rPr>
            <w:rStyle w:val="Hyperlink"/>
            <w:rFonts w:ascii="Calibri" w:hAnsi="Calibri" w:cs="Calibri"/>
            <w:noProof/>
            <w:sz w:val="22"/>
          </w:rPr>
          <w:t>https://gembirapkm.my.id/index.php/jurnal/article/view/678</w:t>
        </w:r>
      </w:hyperlink>
    </w:p>
    <w:p w14:paraId="39E43FF8"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Lutfi, S., Sardimi, S., &amp; Norhidayah, S. (2024). </w:t>
      </w:r>
      <w:r w:rsidRPr="007354F1">
        <w:rPr>
          <w:rFonts w:ascii="Calibri" w:hAnsi="Calibri" w:cs="Calibri"/>
          <w:i/>
          <w:iCs/>
          <w:noProof/>
          <w:sz w:val="22"/>
        </w:rPr>
        <w:t>Al Qur an Hadits</w:t>
      </w:r>
      <w:r w:rsidRPr="007354F1">
        <w:rPr>
          <w:rFonts w:ascii="Calibri" w:hAnsi="Calibri" w:cs="Calibri"/>
          <w:noProof/>
          <w:sz w:val="22"/>
        </w:rPr>
        <w:t xml:space="preserve"> (S. Surawan (ed.); Pertama). K-Media. </w:t>
      </w:r>
      <w:hyperlink r:id="rId46" w:history="1">
        <w:r w:rsidRPr="00562236">
          <w:rPr>
            <w:rStyle w:val="Hyperlink"/>
            <w:rFonts w:ascii="Calibri" w:hAnsi="Calibri" w:cs="Calibri"/>
            <w:noProof/>
            <w:sz w:val="22"/>
          </w:rPr>
          <w:t>https://doi.org/http://digilib.iain-palangkaraya.ac.id/5571/1/Buku%20Pembelajaran%20Al-qur%E2%80%99an%20Hadits_Saiful%20Lutfi%2C%20dkk.pdf</w:t>
        </w:r>
      </w:hyperlink>
    </w:p>
    <w:p w14:paraId="0476E271"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Mansur, M. (2024). The Impact of Quranic Education on Student Development at Amaliah Ciawi Bogor High School. </w:t>
      </w:r>
      <w:r w:rsidRPr="007354F1">
        <w:rPr>
          <w:rFonts w:ascii="Calibri" w:hAnsi="Calibri" w:cs="Calibri"/>
          <w:i/>
          <w:iCs/>
          <w:noProof/>
          <w:sz w:val="22"/>
        </w:rPr>
        <w:t>Journal of Education: Development and Review (JEDAR)</w:t>
      </w:r>
      <w:r w:rsidRPr="007354F1">
        <w:rPr>
          <w:rFonts w:ascii="Calibri" w:hAnsi="Calibri" w:cs="Calibri"/>
          <w:noProof/>
          <w:sz w:val="22"/>
        </w:rPr>
        <w:t xml:space="preserve">, </w:t>
      </w:r>
      <w:r w:rsidRPr="007354F1">
        <w:rPr>
          <w:rFonts w:ascii="Calibri" w:hAnsi="Calibri" w:cs="Calibri"/>
          <w:i/>
          <w:iCs/>
          <w:noProof/>
          <w:sz w:val="22"/>
        </w:rPr>
        <w:t>1</w:t>
      </w:r>
      <w:r w:rsidRPr="007354F1">
        <w:rPr>
          <w:rFonts w:ascii="Calibri" w:hAnsi="Calibri" w:cs="Calibri"/>
          <w:noProof/>
          <w:sz w:val="22"/>
        </w:rPr>
        <w:t>(2), 84–88.</w:t>
      </w:r>
      <w:r>
        <w:rPr>
          <w:rFonts w:ascii="Calibri" w:hAnsi="Calibri" w:cs="Calibri"/>
          <w:noProof/>
          <w:sz w:val="22"/>
        </w:rPr>
        <w:t xml:space="preserve"> </w:t>
      </w:r>
      <w:hyperlink r:id="rId47" w:history="1">
        <w:r w:rsidRPr="00562236">
          <w:rPr>
            <w:rStyle w:val="Hyperlink"/>
            <w:rFonts w:ascii="Calibri" w:hAnsi="Calibri" w:cs="Calibri"/>
            <w:noProof/>
            <w:sz w:val="22"/>
          </w:rPr>
          <w:t>https://doi.org/https://pub.ruangrosadi.com/jurnal-ilmiah/index.php/jedar/article/view/22</w:t>
        </w:r>
      </w:hyperlink>
    </w:p>
    <w:p w14:paraId="5FD9B841"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Miles, M. B., &amp; Huberman, A. M. (1994). Qualitative Data Analysis. In </w:t>
      </w:r>
      <w:r w:rsidRPr="007354F1">
        <w:rPr>
          <w:rFonts w:ascii="Calibri" w:hAnsi="Calibri" w:cs="Calibri"/>
          <w:i/>
          <w:iCs/>
          <w:noProof/>
          <w:sz w:val="22"/>
        </w:rPr>
        <w:t>Sage Publication</w:t>
      </w:r>
      <w:r w:rsidRPr="007354F1">
        <w:rPr>
          <w:rFonts w:ascii="Calibri" w:hAnsi="Calibri" w:cs="Calibri"/>
          <w:noProof/>
          <w:sz w:val="22"/>
        </w:rPr>
        <w:t xml:space="preserve"> (Second </w:t>
      </w:r>
      <w:r w:rsidRPr="007354F1">
        <w:rPr>
          <w:rFonts w:ascii="Calibri" w:hAnsi="Calibri" w:cs="Calibri"/>
          <w:noProof/>
          <w:sz w:val="22"/>
        </w:rPr>
        <w:lastRenderedPageBreak/>
        <w:t xml:space="preserve">Edi). Sage Publications. </w:t>
      </w:r>
      <w:hyperlink r:id="rId48" w:history="1">
        <w:r w:rsidRPr="00562236">
          <w:rPr>
            <w:rStyle w:val="Hyperlink"/>
            <w:rFonts w:ascii="Calibri" w:hAnsi="Calibri" w:cs="Calibri"/>
            <w:noProof/>
            <w:sz w:val="22"/>
          </w:rPr>
          <w:t>https://doi.org/https://vivauniversity.wordpress.com/wp-content/uploads/2013/11/milesandhuberman1994.pdf</w:t>
        </w:r>
      </w:hyperlink>
    </w:p>
    <w:p w14:paraId="3E7E8016"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Moleong, L. J. (2017). </w:t>
      </w:r>
      <w:r w:rsidRPr="007354F1">
        <w:rPr>
          <w:rFonts w:ascii="Calibri" w:hAnsi="Calibri" w:cs="Calibri"/>
          <w:i/>
          <w:iCs/>
          <w:noProof/>
          <w:sz w:val="22"/>
        </w:rPr>
        <w:t>Metodologi Penelitian Kualitatif</w:t>
      </w:r>
      <w:r w:rsidRPr="007354F1">
        <w:rPr>
          <w:rFonts w:ascii="Calibri" w:hAnsi="Calibri" w:cs="Calibri"/>
          <w:noProof/>
          <w:sz w:val="22"/>
        </w:rPr>
        <w:t xml:space="preserve"> (36th ed.). Remaja Rosdakarya. </w:t>
      </w:r>
      <w:hyperlink r:id="rId49" w:history="1">
        <w:r w:rsidRPr="00562236">
          <w:rPr>
            <w:rStyle w:val="Hyperlink"/>
            <w:rFonts w:ascii="Calibri" w:hAnsi="Calibri" w:cs="Calibri"/>
            <w:noProof/>
            <w:sz w:val="22"/>
          </w:rPr>
          <w:t>https://doi.org/https://inlislite.uin-suska.ac.id/opac/detail-opac?id=12221</w:t>
        </w:r>
      </w:hyperlink>
    </w:p>
    <w:p w14:paraId="1604AA1B"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Mubi, Z. A., Hussin, H., &amp; Mohamad, S. (2024). A Literature Highlight on Teachers Competency Level in Teaching Special Class on Quranic Recitation and Memorization Skills (KKQ). </w:t>
      </w:r>
      <w:r w:rsidRPr="007354F1">
        <w:rPr>
          <w:rFonts w:ascii="Calibri" w:hAnsi="Calibri" w:cs="Calibri"/>
          <w:i/>
          <w:iCs/>
          <w:noProof/>
          <w:sz w:val="22"/>
        </w:rPr>
        <w:t>Jurnal Pendidikan Agama Islam</w:t>
      </w:r>
      <w:r w:rsidRPr="007354F1">
        <w:rPr>
          <w:rFonts w:ascii="Calibri" w:hAnsi="Calibri" w:cs="Calibri"/>
          <w:noProof/>
          <w:sz w:val="22"/>
        </w:rPr>
        <w:t xml:space="preserve">, </w:t>
      </w:r>
      <w:r w:rsidRPr="007354F1">
        <w:rPr>
          <w:rFonts w:ascii="Calibri" w:hAnsi="Calibri" w:cs="Calibri"/>
          <w:i/>
          <w:iCs/>
          <w:noProof/>
          <w:sz w:val="22"/>
        </w:rPr>
        <w:t>17</w:t>
      </w:r>
      <w:r w:rsidRPr="007354F1">
        <w:rPr>
          <w:rFonts w:ascii="Calibri" w:hAnsi="Calibri" w:cs="Calibri"/>
          <w:noProof/>
          <w:sz w:val="22"/>
        </w:rPr>
        <w:t xml:space="preserve">(2), 346–363. </w:t>
      </w:r>
      <w:hyperlink r:id="rId50" w:history="1">
        <w:r w:rsidRPr="00562236">
          <w:rPr>
            <w:rStyle w:val="Hyperlink"/>
            <w:rFonts w:ascii="Calibri" w:hAnsi="Calibri" w:cs="Calibri"/>
            <w:noProof/>
            <w:sz w:val="22"/>
          </w:rPr>
          <w:t>https://doi.org/10.14421/jpai.v21i2.8238</w:t>
        </w:r>
      </w:hyperlink>
    </w:p>
    <w:p w14:paraId="4BFE86AE"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Munawaroh, A., Munawir, M., &amp; Pavytha, V. I. (2023). Kurangnya Minat Remaja Dalam Belajar Al-Qur’an Akibat Pengaruh Canggihnya Teknologi Informasi. </w:t>
      </w:r>
      <w:r w:rsidRPr="007354F1">
        <w:rPr>
          <w:rFonts w:ascii="Calibri" w:hAnsi="Calibri" w:cs="Calibri"/>
          <w:i/>
          <w:iCs/>
          <w:noProof/>
          <w:sz w:val="22"/>
        </w:rPr>
        <w:t>Al-Mau’izhoh</w:t>
      </w:r>
      <w:r w:rsidRPr="007354F1">
        <w:rPr>
          <w:rFonts w:ascii="Calibri" w:hAnsi="Calibri" w:cs="Calibri"/>
          <w:noProof/>
          <w:sz w:val="22"/>
        </w:rPr>
        <w:t xml:space="preserve">, </w:t>
      </w:r>
      <w:r w:rsidRPr="007354F1">
        <w:rPr>
          <w:rFonts w:ascii="Calibri" w:hAnsi="Calibri" w:cs="Calibri"/>
          <w:i/>
          <w:iCs/>
          <w:noProof/>
          <w:sz w:val="22"/>
        </w:rPr>
        <w:t>5</w:t>
      </w:r>
      <w:r w:rsidRPr="007354F1">
        <w:rPr>
          <w:rFonts w:ascii="Calibri" w:hAnsi="Calibri" w:cs="Calibri"/>
          <w:noProof/>
          <w:sz w:val="22"/>
        </w:rPr>
        <w:t xml:space="preserve">(2), 460–475. </w:t>
      </w:r>
      <w:hyperlink r:id="rId51" w:history="1">
        <w:r w:rsidRPr="00562236">
          <w:rPr>
            <w:rStyle w:val="Hyperlink"/>
            <w:rFonts w:ascii="Calibri" w:hAnsi="Calibri" w:cs="Calibri"/>
            <w:noProof/>
            <w:sz w:val="22"/>
          </w:rPr>
          <w:t>https://doi.org/10.31949/am.v5i2.7535</w:t>
        </w:r>
      </w:hyperlink>
    </w:p>
    <w:p w14:paraId="7E8195E0"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Munzir, M. (2023). Motivational Influences and Challenges in Quranic Recitation Proficiency: A Study Among Islamic Educational Teacher Training Department State Islamic University Ar-Raniry Banda Aceh Students. </w:t>
      </w:r>
      <w:r w:rsidRPr="007354F1">
        <w:rPr>
          <w:rFonts w:ascii="Calibri" w:hAnsi="Calibri" w:cs="Calibri"/>
          <w:i/>
          <w:iCs/>
          <w:noProof/>
          <w:sz w:val="22"/>
        </w:rPr>
        <w:t>Jurnal Mudarrisuna: Media Kajian Pendidikan Agama Islam</w:t>
      </w:r>
      <w:r w:rsidRPr="007354F1">
        <w:rPr>
          <w:rFonts w:ascii="Calibri" w:hAnsi="Calibri" w:cs="Calibri"/>
          <w:noProof/>
          <w:sz w:val="22"/>
        </w:rPr>
        <w:t xml:space="preserve">, </w:t>
      </w:r>
      <w:r w:rsidRPr="007354F1">
        <w:rPr>
          <w:rFonts w:ascii="Calibri" w:hAnsi="Calibri" w:cs="Calibri"/>
          <w:i/>
          <w:iCs/>
          <w:noProof/>
          <w:sz w:val="22"/>
        </w:rPr>
        <w:t>13</w:t>
      </w:r>
      <w:r w:rsidRPr="007354F1">
        <w:rPr>
          <w:rFonts w:ascii="Calibri" w:hAnsi="Calibri" w:cs="Calibri"/>
          <w:noProof/>
          <w:sz w:val="22"/>
        </w:rPr>
        <w:t xml:space="preserve">(2), 262. </w:t>
      </w:r>
      <w:hyperlink r:id="rId52" w:history="1">
        <w:r w:rsidRPr="00562236">
          <w:rPr>
            <w:rStyle w:val="Hyperlink"/>
            <w:rFonts w:ascii="Calibri" w:hAnsi="Calibri" w:cs="Calibri"/>
            <w:noProof/>
            <w:sz w:val="22"/>
          </w:rPr>
          <w:t>https://doi.org/10.22373/jm.v13i2.22103</w:t>
        </w:r>
      </w:hyperlink>
    </w:p>
    <w:p w14:paraId="4C5FBC51"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Muthmainah, M., &amp; Usman, A. H. (2022). Family support for young Ḥāfiẓ Al-Qur’ān. </w:t>
      </w:r>
      <w:r w:rsidRPr="007354F1">
        <w:rPr>
          <w:rFonts w:ascii="Calibri" w:hAnsi="Calibri" w:cs="Calibri"/>
          <w:i/>
          <w:iCs/>
          <w:noProof/>
          <w:sz w:val="22"/>
        </w:rPr>
        <w:t>Journal of Early Childhood Care and Education</w:t>
      </w:r>
      <w:r w:rsidRPr="007354F1">
        <w:rPr>
          <w:rFonts w:ascii="Calibri" w:hAnsi="Calibri" w:cs="Calibri"/>
          <w:noProof/>
          <w:sz w:val="22"/>
        </w:rPr>
        <w:t xml:space="preserve">, </w:t>
      </w:r>
      <w:r w:rsidRPr="007354F1">
        <w:rPr>
          <w:rFonts w:ascii="Calibri" w:hAnsi="Calibri" w:cs="Calibri"/>
          <w:i/>
          <w:iCs/>
          <w:noProof/>
          <w:sz w:val="22"/>
        </w:rPr>
        <w:t>5</w:t>
      </w:r>
      <w:r w:rsidRPr="007354F1">
        <w:rPr>
          <w:rFonts w:ascii="Calibri" w:hAnsi="Calibri" w:cs="Calibri"/>
          <w:noProof/>
          <w:sz w:val="22"/>
        </w:rPr>
        <w:t xml:space="preserve">(1), 27–44. </w:t>
      </w:r>
      <w:hyperlink r:id="rId53" w:history="1">
        <w:r w:rsidRPr="00562236">
          <w:rPr>
            <w:rStyle w:val="Hyperlink"/>
            <w:rFonts w:ascii="Calibri" w:hAnsi="Calibri" w:cs="Calibri"/>
            <w:noProof/>
            <w:sz w:val="22"/>
          </w:rPr>
          <w:t>https://doi.org/10.26555/jecce.v5i1.5974</w:t>
        </w:r>
      </w:hyperlink>
    </w:p>
    <w:p w14:paraId="0FC858B4"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Nasution, M. R. (2024). Asbāb al - Nuzūl Al-Qur ’ an and its Relevance to Islamic Education. </w:t>
      </w:r>
      <w:r w:rsidRPr="007354F1">
        <w:rPr>
          <w:rFonts w:ascii="Calibri" w:hAnsi="Calibri" w:cs="Calibri"/>
          <w:i/>
          <w:iCs/>
          <w:noProof/>
          <w:sz w:val="22"/>
        </w:rPr>
        <w:t>Scaffolding: Jurnal Pendidikan Islam Dan Multikulturalisme</w:t>
      </w:r>
      <w:r w:rsidRPr="007354F1">
        <w:rPr>
          <w:rFonts w:ascii="Calibri" w:hAnsi="Calibri" w:cs="Calibri"/>
          <w:noProof/>
          <w:sz w:val="22"/>
        </w:rPr>
        <w:t xml:space="preserve">, </w:t>
      </w:r>
      <w:r w:rsidRPr="007354F1">
        <w:rPr>
          <w:rFonts w:ascii="Calibri" w:hAnsi="Calibri" w:cs="Calibri"/>
          <w:i/>
          <w:iCs/>
          <w:noProof/>
          <w:sz w:val="22"/>
        </w:rPr>
        <w:t>6</w:t>
      </w:r>
      <w:r w:rsidRPr="007354F1">
        <w:rPr>
          <w:rFonts w:ascii="Calibri" w:hAnsi="Calibri" w:cs="Calibri"/>
          <w:noProof/>
          <w:sz w:val="22"/>
        </w:rPr>
        <w:t xml:space="preserve">(3), 409–421. </w:t>
      </w:r>
      <w:hyperlink r:id="rId54" w:history="1">
        <w:r w:rsidRPr="00562236">
          <w:rPr>
            <w:rStyle w:val="Hyperlink"/>
            <w:rFonts w:ascii="Calibri" w:hAnsi="Calibri" w:cs="Calibri"/>
            <w:noProof/>
            <w:sz w:val="22"/>
          </w:rPr>
          <w:t>https://doi.org/10.37680/scaffolding.v6i3.7053</w:t>
        </w:r>
      </w:hyperlink>
    </w:p>
    <w:p w14:paraId="13FFACBD"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Nisa, F. K., Rido, M. A., Izharman, I., &amp; Susanti, W. (2021). Problems of Teachers and Santri in Learning the Qur’an. </w:t>
      </w:r>
      <w:r w:rsidRPr="007354F1">
        <w:rPr>
          <w:rFonts w:ascii="Calibri" w:hAnsi="Calibri" w:cs="Calibri"/>
          <w:i/>
          <w:iCs/>
          <w:noProof/>
          <w:sz w:val="22"/>
        </w:rPr>
        <w:t>International Journal of Multidisciplinary Research of Higher Education</w:t>
      </w:r>
      <w:r w:rsidRPr="007354F1">
        <w:rPr>
          <w:rFonts w:ascii="Calibri" w:hAnsi="Calibri" w:cs="Calibri"/>
          <w:noProof/>
          <w:sz w:val="22"/>
        </w:rPr>
        <w:t xml:space="preserve">, </w:t>
      </w:r>
      <w:r w:rsidRPr="007354F1">
        <w:rPr>
          <w:rFonts w:ascii="Calibri" w:hAnsi="Calibri" w:cs="Calibri"/>
          <w:i/>
          <w:iCs/>
          <w:noProof/>
          <w:sz w:val="22"/>
        </w:rPr>
        <w:t>1</w:t>
      </w:r>
      <w:r w:rsidRPr="007354F1">
        <w:rPr>
          <w:rFonts w:ascii="Calibri" w:hAnsi="Calibri" w:cs="Calibri"/>
          <w:noProof/>
          <w:sz w:val="22"/>
        </w:rPr>
        <w:t xml:space="preserve">(1), 1–11. </w:t>
      </w:r>
      <w:hyperlink r:id="rId55" w:history="1">
        <w:r w:rsidRPr="00562236">
          <w:rPr>
            <w:rStyle w:val="Hyperlink"/>
            <w:rFonts w:ascii="Calibri" w:hAnsi="Calibri" w:cs="Calibri"/>
            <w:noProof/>
            <w:sz w:val="22"/>
          </w:rPr>
          <w:t>https://doi.org/10.24036/ijmurhica.v4i1.152</w:t>
        </w:r>
      </w:hyperlink>
    </w:p>
    <w:p w14:paraId="52927CBE"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Nurhalizah, S., Siahaan, A., &amp; Fadhila Daulai, A. (2023). Implementation of the Al-Qur’an Literacy Program to Improve the Ability to Read the Al-Qur’an at the Al-Abid Islamic Elementary School in Medan. </w:t>
      </w:r>
      <w:r w:rsidRPr="007354F1">
        <w:rPr>
          <w:rFonts w:ascii="Calibri" w:hAnsi="Calibri" w:cs="Calibri"/>
          <w:i/>
          <w:iCs/>
          <w:noProof/>
          <w:sz w:val="22"/>
        </w:rPr>
        <w:t>International Journal Of Humanities Education and Social Sciences (IJHESS)</w:t>
      </w:r>
      <w:r w:rsidRPr="007354F1">
        <w:rPr>
          <w:rFonts w:ascii="Calibri" w:hAnsi="Calibri" w:cs="Calibri"/>
          <w:noProof/>
          <w:sz w:val="22"/>
        </w:rPr>
        <w:t xml:space="preserve">, </w:t>
      </w:r>
      <w:r w:rsidRPr="007354F1">
        <w:rPr>
          <w:rFonts w:ascii="Calibri" w:hAnsi="Calibri" w:cs="Calibri"/>
          <w:i/>
          <w:iCs/>
          <w:noProof/>
          <w:sz w:val="22"/>
        </w:rPr>
        <w:t>3</w:t>
      </w:r>
      <w:r w:rsidRPr="007354F1">
        <w:rPr>
          <w:rFonts w:ascii="Calibri" w:hAnsi="Calibri" w:cs="Calibri"/>
          <w:noProof/>
          <w:sz w:val="22"/>
        </w:rPr>
        <w:t xml:space="preserve">(2), 975–988. </w:t>
      </w:r>
      <w:hyperlink r:id="rId56" w:history="1">
        <w:r w:rsidRPr="00562236">
          <w:rPr>
            <w:rStyle w:val="Hyperlink"/>
            <w:rFonts w:ascii="Calibri" w:hAnsi="Calibri" w:cs="Calibri"/>
            <w:noProof/>
            <w:sz w:val="22"/>
          </w:rPr>
          <w:t>https://doi.org/10.55227/ijhess.v3i2.612</w:t>
        </w:r>
      </w:hyperlink>
    </w:p>
    <w:p w14:paraId="58C853B2"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Nurkholifah, S. (2024). The Role of Al-Quran Literacy in Deepening Understanding of Islamic Religious Education. </w:t>
      </w:r>
      <w:r w:rsidRPr="007354F1">
        <w:rPr>
          <w:rFonts w:ascii="Calibri" w:hAnsi="Calibri" w:cs="Calibri"/>
          <w:i/>
          <w:iCs/>
          <w:noProof/>
          <w:sz w:val="22"/>
        </w:rPr>
        <w:t>AFKARINA: Jurnal Pendidikan Agama Islam</w:t>
      </w:r>
      <w:r w:rsidRPr="007354F1">
        <w:rPr>
          <w:rFonts w:ascii="Calibri" w:hAnsi="Calibri" w:cs="Calibri"/>
          <w:noProof/>
          <w:sz w:val="22"/>
        </w:rPr>
        <w:t xml:space="preserve">, </w:t>
      </w:r>
      <w:r w:rsidRPr="007354F1">
        <w:rPr>
          <w:rFonts w:ascii="Calibri" w:hAnsi="Calibri" w:cs="Calibri"/>
          <w:i/>
          <w:iCs/>
          <w:noProof/>
          <w:sz w:val="22"/>
        </w:rPr>
        <w:t>9</w:t>
      </w:r>
      <w:r w:rsidRPr="007354F1">
        <w:rPr>
          <w:rFonts w:ascii="Calibri" w:hAnsi="Calibri" w:cs="Calibri"/>
          <w:noProof/>
          <w:sz w:val="22"/>
        </w:rPr>
        <w:t xml:space="preserve">(1), 47–60. </w:t>
      </w:r>
      <w:hyperlink r:id="rId57" w:history="1">
        <w:r w:rsidRPr="00562236">
          <w:rPr>
            <w:rStyle w:val="Hyperlink"/>
            <w:rFonts w:ascii="Calibri" w:hAnsi="Calibri" w:cs="Calibri"/>
            <w:noProof/>
            <w:sz w:val="22"/>
          </w:rPr>
          <w:t>https://doi.org/10.33650/afkarina.v9i1.9357</w:t>
        </w:r>
      </w:hyperlink>
    </w:p>
    <w:p w14:paraId="183FC93B"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Oktafera, A., &amp; Nasution, Z. (2025). Implementation Of The Quran Reading Program In Forming Students’ Disciplined Character. </w:t>
      </w:r>
      <w:r w:rsidRPr="007354F1">
        <w:rPr>
          <w:rFonts w:ascii="Calibri" w:hAnsi="Calibri" w:cs="Calibri"/>
          <w:i/>
          <w:iCs/>
          <w:noProof/>
          <w:sz w:val="22"/>
        </w:rPr>
        <w:t>Scaffolding: Jurnal Pendidikan Islam Dan Multikulturalisme</w:t>
      </w:r>
      <w:r w:rsidRPr="007354F1">
        <w:rPr>
          <w:rFonts w:ascii="Calibri" w:hAnsi="Calibri" w:cs="Calibri"/>
          <w:noProof/>
          <w:sz w:val="22"/>
        </w:rPr>
        <w:t xml:space="preserve">, </w:t>
      </w:r>
      <w:r w:rsidRPr="007354F1">
        <w:rPr>
          <w:rFonts w:ascii="Calibri" w:hAnsi="Calibri" w:cs="Calibri"/>
          <w:i/>
          <w:iCs/>
          <w:noProof/>
          <w:sz w:val="22"/>
        </w:rPr>
        <w:t>6</w:t>
      </w:r>
      <w:r w:rsidRPr="007354F1">
        <w:rPr>
          <w:rFonts w:ascii="Calibri" w:hAnsi="Calibri" w:cs="Calibri"/>
          <w:noProof/>
          <w:sz w:val="22"/>
        </w:rPr>
        <w:t xml:space="preserve">(3), 333–352. </w:t>
      </w:r>
      <w:hyperlink r:id="rId58" w:history="1">
        <w:r w:rsidRPr="00562236">
          <w:rPr>
            <w:rStyle w:val="Hyperlink"/>
            <w:rFonts w:ascii="Calibri" w:hAnsi="Calibri" w:cs="Calibri"/>
            <w:noProof/>
            <w:sz w:val="22"/>
          </w:rPr>
          <w:t>https://doi.org/10.37680/scaffolding.v6i3.6411</w:t>
        </w:r>
      </w:hyperlink>
    </w:p>
    <w:p w14:paraId="62178FAF"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Putra, R. S., Sinaga, A. I., &amp; Nasution, S. (2024). Pengaruh Program Literasi Al-Qur’an dan Dukungan Keluarga terhadap Kemampuan Membaca Al- Qur’an Siswa SMP IT Permata Cendekia Kabupaten Simalungun. </w:t>
      </w:r>
      <w:r w:rsidRPr="007354F1">
        <w:rPr>
          <w:rFonts w:ascii="Calibri" w:hAnsi="Calibri" w:cs="Calibri"/>
          <w:i/>
          <w:iCs/>
          <w:noProof/>
          <w:sz w:val="22"/>
        </w:rPr>
        <w:t>Ideguru: Jurnal Karya Ilmiah Guru</w:t>
      </w:r>
      <w:r w:rsidRPr="007354F1">
        <w:rPr>
          <w:rFonts w:ascii="Calibri" w:hAnsi="Calibri" w:cs="Calibri"/>
          <w:noProof/>
          <w:sz w:val="22"/>
        </w:rPr>
        <w:t xml:space="preserve">, </w:t>
      </w:r>
      <w:r w:rsidRPr="007354F1">
        <w:rPr>
          <w:rFonts w:ascii="Calibri" w:hAnsi="Calibri" w:cs="Calibri"/>
          <w:i/>
          <w:iCs/>
          <w:noProof/>
          <w:sz w:val="22"/>
        </w:rPr>
        <w:t>9</w:t>
      </w:r>
      <w:r w:rsidRPr="007354F1">
        <w:rPr>
          <w:rFonts w:ascii="Calibri" w:hAnsi="Calibri" w:cs="Calibri"/>
          <w:noProof/>
          <w:sz w:val="22"/>
        </w:rPr>
        <w:t xml:space="preserve">(2), 672–677. </w:t>
      </w:r>
      <w:hyperlink r:id="rId59" w:history="1">
        <w:r w:rsidRPr="00562236">
          <w:rPr>
            <w:rStyle w:val="Hyperlink"/>
            <w:rFonts w:ascii="Calibri" w:hAnsi="Calibri" w:cs="Calibri"/>
            <w:noProof/>
            <w:sz w:val="22"/>
          </w:rPr>
          <w:t>https://doi.org/10.51169/ideguru.v9i2.882</w:t>
        </w:r>
      </w:hyperlink>
    </w:p>
    <w:p w14:paraId="3CF00FB4"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Rahma, E., Hertati, H., &amp; A, M. (2025). Tantangan Dan Solusi Meningkatkan Kemampuan Membaca Al-Qur’an Siswa Di SMPN 9 Tualang. </w:t>
      </w:r>
      <w:r w:rsidRPr="007354F1">
        <w:rPr>
          <w:rFonts w:ascii="Calibri" w:hAnsi="Calibri" w:cs="Calibri"/>
          <w:i/>
          <w:iCs/>
          <w:noProof/>
          <w:sz w:val="22"/>
        </w:rPr>
        <w:t>Review Pendidikan Dan Pengajaran</w:t>
      </w:r>
      <w:r w:rsidRPr="007354F1">
        <w:rPr>
          <w:rFonts w:ascii="Calibri" w:hAnsi="Calibri" w:cs="Calibri"/>
          <w:noProof/>
          <w:sz w:val="22"/>
        </w:rPr>
        <w:t xml:space="preserve">, </w:t>
      </w:r>
      <w:r w:rsidRPr="007354F1">
        <w:rPr>
          <w:rFonts w:ascii="Calibri" w:hAnsi="Calibri" w:cs="Calibri"/>
          <w:i/>
          <w:iCs/>
          <w:noProof/>
          <w:sz w:val="22"/>
        </w:rPr>
        <w:t>8</w:t>
      </w:r>
      <w:r w:rsidRPr="007354F1">
        <w:rPr>
          <w:rFonts w:ascii="Calibri" w:hAnsi="Calibri" w:cs="Calibri"/>
          <w:noProof/>
          <w:sz w:val="22"/>
        </w:rPr>
        <w:t>(1), 3400–3405.</w:t>
      </w:r>
      <w:r>
        <w:rPr>
          <w:rFonts w:ascii="Calibri" w:hAnsi="Calibri" w:cs="Calibri"/>
          <w:noProof/>
          <w:sz w:val="22"/>
        </w:rPr>
        <w:t xml:space="preserve"> </w:t>
      </w:r>
      <w:hyperlink r:id="rId60" w:history="1">
        <w:r w:rsidRPr="00562236">
          <w:rPr>
            <w:rStyle w:val="Hyperlink"/>
            <w:rFonts w:ascii="Calibri" w:hAnsi="Calibri" w:cs="Calibri"/>
            <w:noProof/>
            <w:sz w:val="22"/>
          </w:rPr>
          <w:t>https://journal.universitaspahlawan.ac.id/index.php/jrpp/article/download/43586/27371/145690</w:t>
        </w:r>
      </w:hyperlink>
    </w:p>
    <w:p w14:paraId="2837228B"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Rizki, S. N., Ajahari, A., &amp; Surawan, S. (2022). Peran Orang Tua Dalam Memotivasi Belajar Al-Qur’an Pada Anak Di Tpa Sidomulyokota Palangka Raya. </w:t>
      </w:r>
      <w:r w:rsidRPr="007354F1">
        <w:rPr>
          <w:rFonts w:ascii="Calibri" w:hAnsi="Calibri" w:cs="Calibri"/>
          <w:i/>
          <w:iCs/>
          <w:noProof/>
          <w:sz w:val="22"/>
        </w:rPr>
        <w:t>Wahana Islamika: Jurnal Studi Keislaman</w:t>
      </w:r>
      <w:r w:rsidRPr="007354F1">
        <w:rPr>
          <w:rFonts w:ascii="Calibri" w:hAnsi="Calibri" w:cs="Calibri"/>
          <w:noProof/>
          <w:sz w:val="22"/>
        </w:rPr>
        <w:t xml:space="preserve">, 164–177. </w:t>
      </w:r>
      <w:hyperlink r:id="rId61" w:history="1">
        <w:r w:rsidRPr="00562236">
          <w:rPr>
            <w:rStyle w:val="Hyperlink"/>
            <w:rFonts w:ascii="Calibri" w:hAnsi="Calibri" w:cs="Calibri"/>
            <w:noProof/>
            <w:sz w:val="22"/>
          </w:rPr>
          <w:t>https://doi.org/10.61136/pmm29y60</w:t>
        </w:r>
      </w:hyperlink>
    </w:p>
    <w:p w14:paraId="663504D0"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Rizqi, M., Faujianor, A., &amp; Yuliani, H. (2024). Validitas Pengembangan Media Pembelajaran Bagan dan Audio pada Materi Wudhu. </w:t>
      </w:r>
      <w:r w:rsidRPr="007354F1">
        <w:rPr>
          <w:rFonts w:ascii="Calibri" w:hAnsi="Calibri" w:cs="Calibri"/>
          <w:i/>
          <w:iCs/>
          <w:noProof/>
          <w:sz w:val="22"/>
        </w:rPr>
        <w:t>Attractive: Innovative Education Journal</w:t>
      </w:r>
      <w:r w:rsidRPr="007354F1">
        <w:rPr>
          <w:rFonts w:ascii="Calibri" w:hAnsi="Calibri" w:cs="Calibri"/>
          <w:noProof/>
          <w:sz w:val="22"/>
        </w:rPr>
        <w:t xml:space="preserve">, </w:t>
      </w:r>
      <w:r w:rsidRPr="007354F1">
        <w:rPr>
          <w:rFonts w:ascii="Calibri" w:hAnsi="Calibri" w:cs="Calibri"/>
          <w:i/>
          <w:iCs/>
          <w:noProof/>
          <w:sz w:val="22"/>
        </w:rPr>
        <w:t>6</w:t>
      </w:r>
      <w:r w:rsidRPr="007354F1">
        <w:rPr>
          <w:rFonts w:ascii="Calibri" w:hAnsi="Calibri" w:cs="Calibri"/>
          <w:noProof/>
          <w:sz w:val="22"/>
        </w:rPr>
        <w:t>(3), 414–422.</w:t>
      </w:r>
      <w:r>
        <w:rPr>
          <w:rFonts w:ascii="Calibri" w:hAnsi="Calibri" w:cs="Calibri"/>
          <w:noProof/>
          <w:sz w:val="22"/>
        </w:rPr>
        <w:t xml:space="preserve"> </w:t>
      </w:r>
      <w:hyperlink r:id="rId62" w:history="1">
        <w:r w:rsidRPr="00562236">
          <w:rPr>
            <w:rStyle w:val="Hyperlink"/>
            <w:rFonts w:ascii="Calibri" w:hAnsi="Calibri" w:cs="Calibri"/>
            <w:noProof/>
            <w:sz w:val="22"/>
          </w:rPr>
          <w:t>https://doi.org/10.51278/aj.v6i3.1702</w:t>
        </w:r>
      </w:hyperlink>
    </w:p>
    <w:p w14:paraId="1B0682FF"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Saleh, F. (2025). The Role of Hadith in Enchancing Quranic Literacy. </w:t>
      </w:r>
      <w:r w:rsidRPr="007354F1">
        <w:rPr>
          <w:rFonts w:ascii="Calibri" w:hAnsi="Calibri" w:cs="Calibri"/>
          <w:i/>
          <w:iCs/>
          <w:noProof/>
          <w:sz w:val="22"/>
        </w:rPr>
        <w:t>El-Sunan</w:t>
      </w:r>
      <w:r w:rsidRPr="007354F1">
        <w:rPr>
          <w:rFonts w:ascii="Calibri" w:hAnsi="Calibri" w:cs="Calibri"/>
          <w:noProof/>
          <w:sz w:val="22"/>
        </w:rPr>
        <w:t xml:space="preserve">, </w:t>
      </w:r>
      <w:r w:rsidRPr="007354F1">
        <w:rPr>
          <w:rFonts w:ascii="Calibri" w:hAnsi="Calibri" w:cs="Calibri"/>
          <w:i/>
          <w:iCs/>
          <w:noProof/>
          <w:sz w:val="22"/>
        </w:rPr>
        <w:t>3</w:t>
      </w:r>
      <w:r w:rsidRPr="007354F1">
        <w:rPr>
          <w:rFonts w:ascii="Calibri" w:hAnsi="Calibri" w:cs="Calibri"/>
          <w:noProof/>
          <w:sz w:val="22"/>
        </w:rPr>
        <w:t xml:space="preserve">(1), 1–23. </w:t>
      </w:r>
      <w:hyperlink r:id="rId63" w:history="1">
        <w:r w:rsidRPr="00562236">
          <w:rPr>
            <w:rStyle w:val="Hyperlink"/>
            <w:rFonts w:ascii="Calibri" w:hAnsi="Calibri" w:cs="Calibri"/>
            <w:noProof/>
            <w:sz w:val="22"/>
          </w:rPr>
          <w:t>https://doi.org/10.46870/jiat.v4i1.178.3</w:t>
        </w:r>
      </w:hyperlink>
    </w:p>
    <w:p w14:paraId="63DC2589"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Saputra, R. A., &amp; Subki, S. (2024). INTEGRATION OF QURANIC VALUES IN LEARNING STRATEGIES : Review of Interpretation and Implementation. </w:t>
      </w:r>
      <w:r w:rsidRPr="007354F1">
        <w:rPr>
          <w:rFonts w:ascii="Calibri" w:hAnsi="Calibri" w:cs="Calibri"/>
          <w:i/>
          <w:iCs/>
          <w:noProof/>
          <w:sz w:val="22"/>
        </w:rPr>
        <w:t>Fitrah: Journal of Islamic Education</w:t>
      </w:r>
      <w:r w:rsidRPr="007354F1">
        <w:rPr>
          <w:rFonts w:ascii="Calibri" w:hAnsi="Calibri" w:cs="Calibri"/>
          <w:noProof/>
          <w:sz w:val="22"/>
        </w:rPr>
        <w:t xml:space="preserve">, </w:t>
      </w:r>
      <w:r w:rsidRPr="007354F1">
        <w:rPr>
          <w:rFonts w:ascii="Calibri" w:hAnsi="Calibri" w:cs="Calibri"/>
          <w:i/>
          <w:iCs/>
          <w:noProof/>
          <w:sz w:val="22"/>
        </w:rPr>
        <w:t>5</w:t>
      </w:r>
      <w:r w:rsidRPr="007354F1">
        <w:rPr>
          <w:rFonts w:ascii="Calibri" w:hAnsi="Calibri" w:cs="Calibri"/>
          <w:noProof/>
          <w:sz w:val="22"/>
        </w:rPr>
        <w:t xml:space="preserve">(2), 128–142. </w:t>
      </w:r>
      <w:hyperlink r:id="rId64" w:history="1">
        <w:r w:rsidRPr="00562236">
          <w:rPr>
            <w:rStyle w:val="Hyperlink"/>
            <w:rFonts w:ascii="Calibri" w:hAnsi="Calibri" w:cs="Calibri"/>
            <w:noProof/>
            <w:sz w:val="22"/>
          </w:rPr>
          <w:t>https://doi.org/https://doi.org/10.53802/fitrah.v15i2.921</w:t>
        </w:r>
      </w:hyperlink>
    </w:p>
    <w:p w14:paraId="0F98DBC1"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Sastraatmadja, A. H. M., Emalis Saputra, A., Kulsum, S., Aini Farida, N., &amp; Makbul, M. (2024). Meningkatkan Kemampuan Membaca Al-Qur’an Siswa Kelas Vii Smpit Abdan Syakuro Dengan Metode Al Muyassar. </w:t>
      </w:r>
      <w:r w:rsidRPr="007354F1">
        <w:rPr>
          <w:rFonts w:ascii="Calibri" w:hAnsi="Calibri" w:cs="Calibri"/>
          <w:i/>
          <w:iCs/>
          <w:noProof/>
          <w:sz w:val="22"/>
        </w:rPr>
        <w:t>Mathematic Education JournalMathEdu</w:t>
      </w:r>
      <w:r w:rsidRPr="007354F1">
        <w:rPr>
          <w:rFonts w:ascii="Calibri" w:hAnsi="Calibri" w:cs="Calibri"/>
          <w:noProof/>
          <w:sz w:val="22"/>
        </w:rPr>
        <w:t xml:space="preserve">, </w:t>
      </w:r>
      <w:r w:rsidRPr="007354F1">
        <w:rPr>
          <w:rFonts w:ascii="Calibri" w:hAnsi="Calibri" w:cs="Calibri"/>
          <w:i/>
          <w:iCs/>
          <w:noProof/>
          <w:sz w:val="22"/>
        </w:rPr>
        <w:t>7</w:t>
      </w:r>
      <w:r w:rsidRPr="007354F1">
        <w:rPr>
          <w:rFonts w:ascii="Calibri" w:hAnsi="Calibri" w:cs="Calibri"/>
          <w:noProof/>
          <w:sz w:val="22"/>
        </w:rPr>
        <w:t xml:space="preserve">(2), 67–75. </w:t>
      </w:r>
      <w:hyperlink r:id="rId65" w:history="1">
        <w:r w:rsidRPr="00562236">
          <w:rPr>
            <w:rStyle w:val="Hyperlink"/>
            <w:rFonts w:ascii="Calibri" w:hAnsi="Calibri" w:cs="Calibri"/>
            <w:noProof/>
            <w:sz w:val="22"/>
          </w:rPr>
          <w:t>http://journal.ipts.ac.id/index.php/</w:t>
        </w:r>
      </w:hyperlink>
    </w:p>
    <w:p w14:paraId="76332C90"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Tazkirah, S., Ilham, I., &amp; Nasaruddin, N. (2025). STRATEGY FOR DEVELOPING TEACHER COMPETENCE IN QUR ’ ANIC EDUCATION GARDEN IN THE MODERN ERA : Analysis of Understanding of Tajweed At-Tadzkir Teaching Content. </w:t>
      </w:r>
      <w:r w:rsidRPr="007354F1">
        <w:rPr>
          <w:rFonts w:ascii="Calibri" w:hAnsi="Calibri" w:cs="Calibri"/>
          <w:i/>
          <w:iCs/>
          <w:noProof/>
          <w:sz w:val="22"/>
        </w:rPr>
        <w:t>Fitrah: Journal of Islamic Education</w:t>
      </w:r>
      <w:r w:rsidRPr="007354F1">
        <w:rPr>
          <w:rFonts w:ascii="Calibri" w:hAnsi="Calibri" w:cs="Calibri"/>
          <w:noProof/>
          <w:sz w:val="22"/>
        </w:rPr>
        <w:t xml:space="preserve">, </w:t>
      </w:r>
      <w:r w:rsidRPr="007354F1">
        <w:rPr>
          <w:rFonts w:ascii="Calibri" w:hAnsi="Calibri" w:cs="Calibri"/>
          <w:i/>
          <w:iCs/>
          <w:noProof/>
          <w:sz w:val="22"/>
        </w:rPr>
        <w:t>6</w:t>
      </w:r>
      <w:r w:rsidRPr="007354F1">
        <w:rPr>
          <w:rFonts w:ascii="Calibri" w:hAnsi="Calibri" w:cs="Calibri"/>
          <w:noProof/>
          <w:sz w:val="22"/>
        </w:rPr>
        <w:t xml:space="preserve">(1), 35–48. </w:t>
      </w:r>
      <w:hyperlink r:id="rId66" w:history="1">
        <w:r w:rsidRPr="00562236">
          <w:rPr>
            <w:rStyle w:val="Hyperlink"/>
            <w:rFonts w:ascii="Calibri" w:hAnsi="Calibri" w:cs="Calibri"/>
            <w:noProof/>
            <w:sz w:val="22"/>
          </w:rPr>
          <w:t>https://doi.org/https://doi.org/10.53802/fitrah.v6i1.1135</w:t>
        </w:r>
      </w:hyperlink>
    </w:p>
    <w:p w14:paraId="24418C05" w14:textId="77777777" w:rsidR="00DB5D71" w:rsidRPr="007354F1" w:rsidRDefault="00DB5D71" w:rsidP="00DB5D71">
      <w:pPr>
        <w:widowControl w:val="0"/>
        <w:autoSpaceDE w:val="0"/>
        <w:autoSpaceDN w:val="0"/>
        <w:adjustRightInd w:val="0"/>
        <w:ind w:left="480" w:hanging="480"/>
        <w:jc w:val="both"/>
        <w:rPr>
          <w:rFonts w:ascii="Calibri" w:hAnsi="Calibri" w:cs="Calibri"/>
          <w:noProof/>
          <w:sz w:val="22"/>
        </w:rPr>
      </w:pPr>
      <w:r w:rsidRPr="007354F1">
        <w:rPr>
          <w:rFonts w:ascii="Calibri" w:hAnsi="Calibri" w:cs="Calibri"/>
          <w:noProof/>
          <w:sz w:val="22"/>
        </w:rPr>
        <w:t xml:space="preserve">Wahdarohmah, N. K., &amp; Abdullah. (2024). Pendampingan Membaca Al-Qur’an Sebelum Belajar Melalui Kegiatan Pengabdian Mahasiswa IAIN Palangka Raya. </w:t>
      </w:r>
      <w:r w:rsidRPr="007354F1">
        <w:rPr>
          <w:rFonts w:ascii="Calibri" w:hAnsi="Calibri" w:cs="Calibri"/>
          <w:i/>
          <w:iCs/>
          <w:noProof/>
          <w:sz w:val="22"/>
        </w:rPr>
        <w:t>ARDHI : Jurnal Pengabdian Dalam Negri</w:t>
      </w:r>
      <w:r w:rsidRPr="007354F1">
        <w:rPr>
          <w:rFonts w:ascii="Calibri" w:hAnsi="Calibri" w:cs="Calibri"/>
          <w:noProof/>
          <w:sz w:val="22"/>
        </w:rPr>
        <w:t xml:space="preserve">, </w:t>
      </w:r>
      <w:r w:rsidRPr="007354F1">
        <w:rPr>
          <w:rFonts w:ascii="Calibri" w:hAnsi="Calibri" w:cs="Calibri"/>
          <w:i/>
          <w:iCs/>
          <w:noProof/>
          <w:sz w:val="22"/>
        </w:rPr>
        <w:t>2</w:t>
      </w:r>
      <w:r w:rsidRPr="007354F1">
        <w:rPr>
          <w:rFonts w:ascii="Calibri" w:hAnsi="Calibri" w:cs="Calibri"/>
          <w:noProof/>
          <w:sz w:val="22"/>
        </w:rPr>
        <w:t xml:space="preserve">(5), 133–139. </w:t>
      </w:r>
      <w:hyperlink r:id="rId67" w:history="1">
        <w:r w:rsidRPr="00562236">
          <w:rPr>
            <w:rStyle w:val="Hyperlink"/>
            <w:rFonts w:ascii="Calibri" w:hAnsi="Calibri" w:cs="Calibri"/>
            <w:noProof/>
            <w:sz w:val="22"/>
          </w:rPr>
          <w:t>https://doi.org/https://doi.org/10.61132/ardhi.v2i5.777</w:t>
        </w:r>
      </w:hyperlink>
    </w:p>
    <w:p w14:paraId="62659F4B" w14:textId="01A57177" w:rsidR="00DB5D71" w:rsidRDefault="00DB5D71" w:rsidP="00DB5D71">
      <w:pPr>
        <w:widowControl w:val="0"/>
        <w:autoSpaceDE w:val="0"/>
        <w:autoSpaceDN w:val="0"/>
        <w:adjustRightInd w:val="0"/>
        <w:ind w:left="480" w:hanging="480"/>
        <w:rPr>
          <w:rFonts w:ascii="Calibri" w:eastAsia="Calibri" w:hAnsi="Calibri" w:cs="Calibri"/>
          <w:b/>
          <w:sz w:val="22"/>
          <w:szCs w:val="22"/>
        </w:rPr>
      </w:pPr>
      <w:r>
        <w:rPr>
          <w:rFonts w:ascii="Calibri" w:eastAsia="Calibri" w:hAnsi="Calibri" w:cs="Calibri"/>
          <w:b/>
          <w:sz w:val="22"/>
          <w:szCs w:val="22"/>
        </w:rPr>
        <w:fldChar w:fldCharType="end"/>
      </w:r>
    </w:p>
    <w:p w14:paraId="7121FBBF" w14:textId="77777777" w:rsidR="00DB5D71" w:rsidRDefault="00DB5D71" w:rsidP="00DB5D71">
      <w:pPr>
        <w:widowControl w:val="0"/>
        <w:autoSpaceDE w:val="0"/>
        <w:autoSpaceDN w:val="0"/>
        <w:adjustRightInd w:val="0"/>
        <w:ind w:left="480" w:hanging="480"/>
        <w:rPr>
          <w:rFonts w:ascii="Calibri" w:eastAsia="Calibri" w:hAnsi="Calibri" w:cs="Calibri"/>
          <w:b/>
          <w:sz w:val="22"/>
          <w:szCs w:val="22"/>
        </w:rPr>
      </w:pPr>
    </w:p>
    <w:p w14:paraId="4696D697" w14:textId="77777777" w:rsidR="00EE5178" w:rsidRDefault="00EE5178">
      <w:pPr>
        <w:pBdr>
          <w:top w:val="nil"/>
          <w:left w:val="nil"/>
          <w:bottom w:val="nil"/>
          <w:right w:val="nil"/>
          <w:between w:val="nil"/>
        </w:pBdr>
        <w:jc w:val="both"/>
        <w:rPr>
          <w:rFonts w:ascii="Calibri" w:eastAsia="Calibri" w:hAnsi="Calibri" w:cs="Calibri"/>
          <w:color w:val="FF0000"/>
          <w:sz w:val="22"/>
          <w:szCs w:val="22"/>
        </w:rPr>
      </w:pPr>
    </w:p>
    <w:sectPr w:rsidR="00EE5178" w:rsidSect="00C27B0D">
      <w:headerReference w:type="even" r:id="rId68"/>
      <w:headerReference w:type="default" r:id="rId69"/>
      <w:footerReference w:type="even" r:id="rId70"/>
      <w:footerReference w:type="default" r:id="rId71"/>
      <w:headerReference w:type="first" r:id="rId72"/>
      <w:footerReference w:type="first" r:id="rId73"/>
      <w:type w:val="continuous"/>
      <w:pgSz w:w="11909" w:h="16834"/>
      <w:pgMar w:top="1701" w:right="1701" w:bottom="1701" w:left="1701" w:header="709" w:footer="709" w:gutter="0"/>
      <w:pgNumType w:start="114"/>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66C1C6" w14:textId="77777777" w:rsidR="00561170" w:rsidRDefault="00561170">
      <w:r>
        <w:separator/>
      </w:r>
    </w:p>
  </w:endnote>
  <w:endnote w:type="continuationSeparator" w:id="0">
    <w:p w14:paraId="33CF96DB" w14:textId="77777777" w:rsidR="00561170" w:rsidRDefault="00561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embedRegular r:id="rId1" w:fontKey="{C1BD62E3-5D82-4241-B7C8-DCD4CEFE39C8}"/>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embedRegular r:id="rId2" w:fontKey="{C38A242B-496C-4642-962C-05BEA474AC69}"/>
  </w:font>
  <w:font w:name="Cambria">
    <w:panose1 w:val="02040503050406030204"/>
    <w:charset w:val="00"/>
    <w:family w:val="roman"/>
    <w:pitch w:val="variable"/>
    <w:sig w:usb0="E00006FF" w:usb1="420024FF" w:usb2="02000000" w:usb3="00000000" w:csb0="0000019F" w:csb1="00000000"/>
    <w:embedRegular r:id="rId3" w:fontKey="{938ABEFD-532E-41D6-8F3C-AE90C4A6DBA8}"/>
  </w:font>
  <w:font w:name="Calibri">
    <w:panose1 w:val="020F0502020204030204"/>
    <w:charset w:val="00"/>
    <w:family w:val="swiss"/>
    <w:pitch w:val="variable"/>
    <w:sig w:usb0="E4002EFF" w:usb1="C200247B" w:usb2="00000009" w:usb3="00000000" w:csb0="000001FF" w:csb1="00000000"/>
    <w:embedRegular r:id="rId4" w:fontKey="{9EAB875E-93DB-44EF-878F-F82ED4406854}"/>
    <w:embedBold r:id="rId5" w:fontKey="{BEE2318C-9D64-4073-97A2-32E14532E07E}"/>
    <w:embedItalic r:id="rId6" w:fontKey="{10B1CCF3-E289-45C9-A9C0-A7289F1BC971}"/>
    <w:embedBoldItalic r:id="rId7" w:fontKey="{9921A12A-693A-4583-BD52-7C8D97A73FBF}"/>
  </w:font>
  <w:font w:name="Tahoma">
    <w:panose1 w:val="020B0604030504040204"/>
    <w:charset w:val="00"/>
    <w:family w:val="swiss"/>
    <w:pitch w:val="variable"/>
    <w:sig w:usb0="E1002EFF" w:usb1="C000605B" w:usb2="00000029" w:usb3="00000000" w:csb0="000101FF" w:csb1="00000000"/>
    <w:embedRegular r:id="rId8" w:fontKey="{4F372DA3-E9B0-4F12-82F5-6AB92FDA16C7}"/>
  </w:font>
  <w:font w:name="Georgia">
    <w:panose1 w:val="02040502050405020303"/>
    <w:charset w:val="00"/>
    <w:family w:val="roman"/>
    <w:pitch w:val="variable"/>
    <w:sig w:usb0="00000287" w:usb1="00000000" w:usb2="00000000" w:usb3="00000000" w:csb0="0000009F" w:csb1="00000000"/>
    <w:embedRegular r:id="rId9" w:fontKey="{EEB8A603-C2B7-428E-A83C-B02B43436630}"/>
    <w:embedItalic r:id="rId10" w:fontKey="{A85346E1-C7A9-4CC5-9FBF-AFB289DA8151}"/>
  </w:font>
  <w:font w:name="Book Antiqua">
    <w:panose1 w:val="02040602050305030304"/>
    <w:charset w:val="00"/>
    <w:family w:val="roman"/>
    <w:pitch w:val="variable"/>
    <w:sig w:usb0="00000287" w:usb1="00000000" w:usb2="00000000" w:usb3="00000000" w:csb0="0000009F" w:csb1="00000000"/>
    <w:embedRegular r:id="rId11" w:fontKey="{70E72AEB-0D26-49F1-B131-5D88CA88FCBB}"/>
    <w:embedItalic r:id="rId12" w:fontKey="{7AAC9389-922D-498D-9BF1-72D472E9842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0037069"/>
      <w:docPartObj>
        <w:docPartGallery w:val="Page Numbers (Bottom of Page)"/>
        <w:docPartUnique/>
      </w:docPartObj>
    </w:sdtPr>
    <w:sdtEndPr>
      <w:rPr>
        <w:noProof/>
      </w:rPr>
    </w:sdtEndPr>
    <w:sdtContent>
      <w:p w14:paraId="483B041F" w14:textId="4CE0A601" w:rsidR="00F1781C" w:rsidRDefault="00F1781C">
        <w:pPr>
          <w:pStyle w:val="Footer"/>
          <w:jc w:val="right"/>
        </w:pPr>
        <w:r>
          <w:fldChar w:fldCharType="begin"/>
        </w:r>
        <w:r>
          <w:instrText xml:space="preserve"> PAGE   \* MERGEFORMAT </w:instrText>
        </w:r>
        <w:r>
          <w:fldChar w:fldCharType="separate"/>
        </w:r>
        <w:r w:rsidR="00FB1A6B">
          <w:rPr>
            <w:noProof/>
          </w:rPr>
          <w:t>124</w:t>
        </w:r>
        <w:r>
          <w:rPr>
            <w:noProof/>
          </w:rPr>
          <w:fldChar w:fldCharType="end"/>
        </w:r>
      </w:p>
    </w:sdtContent>
  </w:sdt>
  <w:p w14:paraId="30D3CBB7" w14:textId="77777777" w:rsidR="00F1781C" w:rsidRDefault="00F178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4418195"/>
      <w:docPartObj>
        <w:docPartGallery w:val="Page Numbers (Bottom of Page)"/>
        <w:docPartUnique/>
      </w:docPartObj>
    </w:sdtPr>
    <w:sdtEndPr>
      <w:rPr>
        <w:noProof/>
      </w:rPr>
    </w:sdtEndPr>
    <w:sdtContent>
      <w:p w14:paraId="5AB83140" w14:textId="11355713" w:rsidR="00C27B0D" w:rsidRDefault="00C27B0D">
        <w:pPr>
          <w:pStyle w:val="Footer"/>
          <w:jc w:val="right"/>
        </w:pPr>
        <w:r>
          <w:fldChar w:fldCharType="begin"/>
        </w:r>
        <w:r>
          <w:instrText xml:space="preserve"> PAGE   \* MERGEFORMAT </w:instrText>
        </w:r>
        <w:r>
          <w:fldChar w:fldCharType="separate"/>
        </w:r>
        <w:r w:rsidR="00FB1A6B">
          <w:rPr>
            <w:noProof/>
          </w:rPr>
          <w:t>123</w:t>
        </w:r>
        <w:r>
          <w:rPr>
            <w:noProof/>
          </w:rPr>
          <w:fldChar w:fldCharType="end"/>
        </w:r>
      </w:p>
    </w:sdtContent>
  </w:sdt>
  <w:p w14:paraId="253CA114" w14:textId="77777777" w:rsidR="00C27B0D" w:rsidRDefault="00C27B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1024498"/>
      <w:docPartObj>
        <w:docPartGallery w:val="Page Numbers (Bottom of Page)"/>
        <w:docPartUnique/>
      </w:docPartObj>
    </w:sdtPr>
    <w:sdtEndPr>
      <w:rPr>
        <w:noProof/>
      </w:rPr>
    </w:sdtEndPr>
    <w:sdtContent>
      <w:p w14:paraId="75F3B186" w14:textId="74A98736" w:rsidR="00C27B0D" w:rsidRDefault="00C27B0D">
        <w:pPr>
          <w:pStyle w:val="Footer"/>
          <w:jc w:val="right"/>
        </w:pPr>
        <w:r>
          <w:fldChar w:fldCharType="begin"/>
        </w:r>
        <w:r>
          <w:instrText xml:space="preserve"> PAGE   \* MERGEFORMAT </w:instrText>
        </w:r>
        <w:r>
          <w:fldChar w:fldCharType="separate"/>
        </w:r>
        <w:r w:rsidR="00FB1A6B">
          <w:rPr>
            <w:noProof/>
          </w:rPr>
          <w:t>114</w:t>
        </w:r>
        <w:r>
          <w:rPr>
            <w:noProof/>
          </w:rPr>
          <w:fldChar w:fldCharType="end"/>
        </w:r>
      </w:p>
    </w:sdtContent>
  </w:sdt>
  <w:p w14:paraId="64BA46EF" w14:textId="77777777" w:rsidR="00C27B0D" w:rsidRDefault="00C27B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6F0ED3" w14:textId="77777777" w:rsidR="00561170" w:rsidRDefault="00561170">
      <w:r>
        <w:separator/>
      </w:r>
    </w:p>
  </w:footnote>
  <w:footnote w:type="continuationSeparator" w:id="0">
    <w:p w14:paraId="40D66985" w14:textId="77777777" w:rsidR="00561170" w:rsidRDefault="005611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CD019" w14:textId="411E3ED3" w:rsidR="00F1781C" w:rsidRPr="00F1781C" w:rsidRDefault="00F1781C" w:rsidP="00DC5D19">
    <w:pPr>
      <w:pStyle w:val="Header"/>
      <w:pBdr>
        <w:top w:val="single" w:sz="4" w:space="1" w:color="auto"/>
        <w:bottom w:val="single" w:sz="4" w:space="1" w:color="auto"/>
      </w:pBdr>
      <w:jc w:val="both"/>
      <w:rPr>
        <w:sz w:val="18"/>
        <w:szCs w:val="18"/>
      </w:rPr>
    </w:pPr>
    <w:r w:rsidRPr="00F1781C">
      <w:rPr>
        <w:sz w:val="18"/>
        <w:szCs w:val="18"/>
      </w:rPr>
      <w:t xml:space="preserve">Rizqi, M., Hartati, Z., &amp; Abdullah. (2025). Analysis of Students’ Ability to Read the Qur’an Based on Their Learning Environment Support. </w:t>
    </w:r>
    <w:r w:rsidRPr="00F1781C">
      <w:rPr>
        <w:i/>
        <w:iCs/>
        <w:sz w:val="18"/>
        <w:szCs w:val="18"/>
      </w:rPr>
      <w:t>Jurnal Komunikasi Pendidikan</w:t>
    </w:r>
    <w:r w:rsidRPr="00F1781C">
      <w:rPr>
        <w:sz w:val="18"/>
        <w:szCs w:val="18"/>
      </w:rPr>
      <w:t xml:space="preserve">, </w:t>
    </w:r>
    <w:r w:rsidRPr="00F1781C">
      <w:rPr>
        <w:i/>
        <w:iCs/>
        <w:sz w:val="18"/>
        <w:szCs w:val="18"/>
      </w:rPr>
      <w:t>9</w:t>
    </w:r>
    <w:r w:rsidRPr="00F1781C">
      <w:rPr>
        <w:sz w:val="18"/>
        <w:szCs w:val="18"/>
      </w:rPr>
      <w:t>(2)</w:t>
    </w:r>
    <w:r w:rsidR="00DC5D19">
      <w:rPr>
        <w:sz w:val="18"/>
        <w:szCs w:val="18"/>
      </w:rPr>
      <w:t>, 114-124</w:t>
    </w:r>
    <w:r w:rsidRPr="00F1781C">
      <w:rPr>
        <w:sz w:val="18"/>
        <w:szCs w:val="18"/>
      </w:rPr>
      <w:t xml:space="preserve">. </w:t>
    </w:r>
    <w:hyperlink r:id="rId1" w:history="1">
      <w:r w:rsidRPr="00F1781C">
        <w:rPr>
          <w:rStyle w:val="Hyperlink"/>
          <w:sz w:val="18"/>
          <w:szCs w:val="18"/>
          <w:u w:val="none"/>
        </w:rPr>
        <w:t>https://doi.org/10.32585/jurnalkomdik.v9i2.6797</w:t>
      </w:r>
    </w:hyperlink>
    <w:r w:rsidRPr="00F1781C">
      <w:rPr>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C380F6" w14:textId="05B93DFB" w:rsidR="00A274B2" w:rsidRPr="00DC5D19" w:rsidRDefault="00DC5D19" w:rsidP="00DC5D19">
    <w:pPr>
      <w:pStyle w:val="Header"/>
      <w:pBdr>
        <w:top w:val="single" w:sz="4" w:space="1" w:color="auto"/>
        <w:bottom w:val="single" w:sz="4" w:space="1" w:color="auto"/>
      </w:pBdr>
      <w:jc w:val="both"/>
      <w:rPr>
        <w:sz w:val="18"/>
        <w:szCs w:val="18"/>
      </w:rPr>
    </w:pPr>
    <w:r w:rsidRPr="00F1781C">
      <w:rPr>
        <w:sz w:val="18"/>
        <w:szCs w:val="18"/>
      </w:rPr>
      <w:t xml:space="preserve">Rizqi, M., Hartati, Z., &amp; Abdullah. (2025). Analysis of Students’ Ability to Read the Qur’an Based on Their Learning Environment Support. </w:t>
    </w:r>
    <w:r w:rsidRPr="00F1781C">
      <w:rPr>
        <w:i/>
        <w:iCs/>
        <w:sz w:val="18"/>
        <w:szCs w:val="18"/>
      </w:rPr>
      <w:t>Jurnal Komunikasi Pendidikan</w:t>
    </w:r>
    <w:r w:rsidRPr="00F1781C">
      <w:rPr>
        <w:sz w:val="18"/>
        <w:szCs w:val="18"/>
      </w:rPr>
      <w:t xml:space="preserve">, </w:t>
    </w:r>
    <w:r w:rsidRPr="00F1781C">
      <w:rPr>
        <w:i/>
        <w:iCs/>
        <w:sz w:val="18"/>
        <w:szCs w:val="18"/>
      </w:rPr>
      <w:t>9</w:t>
    </w:r>
    <w:r w:rsidRPr="00F1781C">
      <w:rPr>
        <w:sz w:val="18"/>
        <w:szCs w:val="18"/>
      </w:rPr>
      <w:t>(2)</w:t>
    </w:r>
    <w:r>
      <w:rPr>
        <w:sz w:val="18"/>
        <w:szCs w:val="18"/>
      </w:rPr>
      <w:t>, 114-124</w:t>
    </w:r>
    <w:r w:rsidRPr="00F1781C">
      <w:rPr>
        <w:sz w:val="18"/>
        <w:szCs w:val="18"/>
      </w:rPr>
      <w:t xml:space="preserve">. </w:t>
    </w:r>
    <w:hyperlink r:id="rId1" w:history="1">
      <w:r w:rsidRPr="00F1781C">
        <w:rPr>
          <w:rStyle w:val="Hyperlink"/>
          <w:sz w:val="18"/>
          <w:szCs w:val="18"/>
          <w:u w:val="none"/>
        </w:rPr>
        <w:t>https://doi.org/10.32585/jurnalkomdik.v9i2.6797</w:t>
      </w:r>
    </w:hyperlink>
    <w:r w:rsidRPr="00F1781C">
      <w:rPr>
        <w:sz w:val="18"/>
        <w:szCs w:val="1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05"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686"/>
      <w:gridCol w:w="7319"/>
    </w:tblGrid>
    <w:tr w:rsidR="00C27B0D" w:rsidRPr="00F02250" w14:paraId="674A38CB" w14:textId="77777777" w:rsidTr="00175CE3">
      <w:trPr>
        <w:trHeight w:val="1246"/>
      </w:trPr>
      <w:tc>
        <w:tcPr>
          <w:tcW w:w="1686" w:type="dxa"/>
          <w:tcBorders>
            <w:top w:val="single" w:sz="4" w:space="0" w:color="000000"/>
            <w:left w:val="single" w:sz="4" w:space="0" w:color="000000"/>
            <w:bottom w:val="single" w:sz="4" w:space="0" w:color="000000"/>
            <w:right w:val="single" w:sz="4" w:space="0" w:color="000000"/>
          </w:tcBorders>
          <w:shd w:val="clear" w:color="auto" w:fill="auto"/>
        </w:tcPr>
        <w:p w14:paraId="590238BF" w14:textId="77777777" w:rsidR="00C27B0D" w:rsidRPr="00F02250" w:rsidRDefault="00C27B0D" w:rsidP="00175CE3">
          <w:pPr>
            <w:widowControl w:val="0"/>
            <w:rPr>
              <w:color w:val="0070C0"/>
            </w:rPr>
          </w:pPr>
          <w:r w:rsidRPr="00F02250">
            <w:rPr>
              <w:noProof/>
              <w:lang w:val="id-ID" w:eastAsia="id-ID"/>
            </w:rPr>
            <w:drawing>
              <wp:anchor distT="0" distB="0" distL="114300" distR="114300" simplePos="0" relativeHeight="251659264" behindDoc="0" locked="0" layoutInCell="1" hidden="0" allowOverlap="1" wp14:anchorId="1521705D" wp14:editId="3EE06C70">
                <wp:simplePos x="0" y="0"/>
                <wp:positionH relativeFrom="column">
                  <wp:posOffset>51437</wp:posOffset>
                </wp:positionH>
                <wp:positionV relativeFrom="paragraph">
                  <wp:posOffset>50165</wp:posOffset>
                </wp:positionV>
                <wp:extent cx="773430" cy="685165"/>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3430" cy="685165"/>
                        </a:xfrm>
                        <a:prstGeom prst="rect">
                          <a:avLst/>
                        </a:prstGeom>
                        <a:ln/>
                      </pic:spPr>
                    </pic:pic>
                  </a:graphicData>
                </a:graphic>
              </wp:anchor>
            </w:drawing>
          </w:r>
        </w:p>
      </w:tc>
      <w:tc>
        <w:tcPr>
          <w:tcW w:w="7319" w:type="dxa"/>
          <w:tcBorders>
            <w:top w:val="single" w:sz="4" w:space="0" w:color="000000"/>
            <w:left w:val="single" w:sz="4" w:space="0" w:color="000000"/>
            <w:bottom w:val="single" w:sz="4" w:space="0" w:color="000000"/>
            <w:right w:val="single" w:sz="4" w:space="0" w:color="000000"/>
          </w:tcBorders>
          <w:shd w:val="clear" w:color="auto" w:fill="auto"/>
        </w:tcPr>
        <w:p w14:paraId="4547DD24" w14:textId="77777777" w:rsidR="00C27B0D" w:rsidRPr="00F02250" w:rsidRDefault="00C27B0D" w:rsidP="00175CE3">
          <w:pPr>
            <w:rPr>
              <w:b/>
              <w:i/>
              <w:sz w:val="8"/>
              <w:szCs w:val="8"/>
            </w:rPr>
          </w:pPr>
        </w:p>
        <w:p w14:paraId="70FB7B2D" w14:textId="77777777" w:rsidR="00C27B0D" w:rsidRPr="00F02250" w:rsidRDefault="00C27B0D" w:rsidP="00175CE3">
          <w:pPr>
            <w:ind w:firstLine="175"/>
            <w:rPr>
              <w:b/>
              <w:i/>
              <w:sz w:val="44"/>
              <w:szCs w:val="40"/>
              <w:lang w:val="sv-SE"/>
            </w:rPr>
          </w:pPr>
          <w:r w:rsidRPr="00F02250">
            <w:rPr>
              <w:b/>
              <w:i/>
              <w:sz w:val="44"/>
              <w:szCs w:val="40"/>
              <w:lang w:val="sv-SE"/>
            </w:rPr>
            <w:t>Jurnal Komunikasi Pendidikan</w:t>
          </w:r>
        </w:p>
        <w:p w14:paraId="7AB16A06" w14:textId="18372AC9" w:rsidR="00C27B0D" w:rsidRPr="00F02250" w:rsidRDefault="00C27B0D" w:rsidP="00175CE3">
          <w:pPr>
            <w:ind w:firstLine="175"/>
            <w:rPr>
              <w:i/>
              <w:sz w:val="22"/>
              <w:szCs w:val="22"/>
              <w:lang w:val="sv-SE"/>
            </w:rPr>
          </w:pPr>
          <w:r>
            <w:rPr>
              <w:i/>
              <w:sz w:val="22"/>
              <w:szCs w:val="22"/>
              <w:lang w:val="sv-SE"/>
            </w:rPr>
            <w:t>Vol. 9, No. 2 (2025), pp. 114</w:t>
          </w:r>
          <w:r w:rsidRPr="00F02250">
            <w:rPr>
              <w:i/>
              <w:sz w:val="22"/>
              <w:szCs w:val="22"/>
              <w:lang w:val="sv-SE"/>
            </w:rPr>
            <w:t>-</w:t>
          </w:r>
          <w:r>
            <w:rPr>
              <w:i/>
              <w:sz w:val="22"/>
              <w:szCs w:val="22"/>
              <w:lang w:val="sv-SE"/>
            </w:rPr>
            <w:t>12</w:t>
          </w:r>
          <w:r w:rsidR="00F1781C">
            <w:rPr>
              <w:i/>
              <w:sz w:val="22"/>
              <w:szCs w:val="22"/>
              <w:lang w:val="sv-SE"/>
            </w:rPr>
            <w:t>4</w:t>
          </w:r>
          <w:r>
            <w:rPr>
              <w:i/>
              <w:sz w:val="22"/>
              <w:szCs w:val="22"/>
              <w:lang w:val="sv-SE"/>
            </w:rPr>
            <w:t xml:space="preserve"> / </w:t>
          </w:r>
          <w:r w:rsidRPr="00F02250">
            <w:rPr>
              <w:i/>
              <w:sz w:val="22"/>
              <w:szCs w:val="22"/>
              <w:lang w:val="sv-SE"/>
            </w:rPr>
            <w:t>p-ISSN: 2549-1725, e-ISSN: 2549-4163</w:t>
          </w:r>
        </w:p>
        <w:p w14:paraId="033D71FA" w14:textId="77777777" w:rsidR="00C27B0D" w:rsidRPr="00F02250" w:rsidRDefault="00C27B0D" w:rsidP="00175CE3">
          <w:pPr>
            <w:ind w:firstLine="175"/>
            <w:rPr>
              <w:color w:val="0070C0"/>
              <w:lang w:val="sv-SE"/>
            </w:rPr>
          </w:pPr>
          <w:hyperlink r:id="rId2">
            <w:r w:rsidRPr="00F02250">
              <w:rPr>
                <w:i/>
                <w:color w:val="0000FF"/>
                <w:sz w:val="22"/>
                <w:lang w:val="sv-SE"/>
              </w:rPr>
              <w:t>http://journal.univetbantara.ac.id/index.php/komdik</w:t>
            </w:r>
          </w:hyperlink>
        </w:p>
      </w:tc>
    </w:tr>
  </w:tbl>
  <w:p w14:paraId="7BD6FB88" w14:textId="77777777" w:rsidR="0078396A" w:rsidRPr="00C27B0D" w:rsidRDefault="0078396A" w:rsidP="00C27B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6854BE"/>
    <w:multiLevelType w:val="multilevel"/>
    <w:tmpl w:val="957E7A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178"/>
    <w:rsid w:val="000639CA"/>
    <w:rsid w:val="0009678F"/>
    <w:rsid w:val="001F3FF1"/>
    <w:rsid w:val="0022655D"/>
    <w:rsid w:val="00247A5C"/>
    <w:rsid w:val="00281AB2"/>
    <w:rsid w:val="002E5307"/>
    <w:rsid w:val="003416CB"/>
    <w:rsid w:val="00355ABA"/>
    <w:rsid w:val="00363147"/>
    <w:rsid w:val="003B560C"/>
    <w:rsid w:val="003C7A32"/>
    <w:rsid w:val="00481A63"/>
    <w:rsid w:val="00494B95"/>
    <w:rsid w:val="004B789A"/>
    <w:rsid w:val="0055641A"/>
    <w:rsid w:val="00561170"/>
    <w:rsid w:val="00562236"/>
    <w:rsid w:val="005F5861"/>
    <w:rsid w:val="00694905"/>
    <w:rsid w:val="006D5473"/>
    <w:rsid w:val="006E5FD2"/>
    <w:rsid w:val="007354F1"/>
    <w:rsid w:val="0078396A"/>
    <w:rsid w:val="007E242F"/>
    <w:rsid w:val="00832304"/>
    <w:rsid w:val="009A4C9C"/>
    <w:rsid w:val="00A10ACC"/>
    <w:rsid w:val="00A2127C"/>
    <w:rsid w:val="00A274B2"/>
    <w:rsid w:val="00A5634B"/>
    <w:rsid w:val="00AB2405"/>
    <w:rsid w:val="00AB577C"/>
    <w:rsid w:val="00AD12D1"/>
    <w:rsid w:val="00B07474"/>
    <w:rsid w:val="00C27B0D"/>
    <w:rsid w:val="00C515C0"/>
    <w:rsid w:val="00C80A21"/>
    <w:rsid w:val="00C97DAD"/>
    <w:rsid w:val="00CB0DD8"/>
    <w:rsid w:val="00CC3004"/>
    <w:rsid w:val="00CD0CCA"/>
    <w:rsid w:val="00D8570C"/>
    <w:rsid w:val="00DB50AD"/>
    <w:rsid w:val="00DB5D71"/>
    <w:rsid w:val="00DC2544"/>
    <w:rsid w:val="00DC5D19"/>
    <w:rsid w:val="00E52219"/>
    <w:rsid w:val="00E62F81"/>
    <w:rsid w:val="00EE5178"/>
    <w:rsid w:val="00F1781C"/>
    <w:rsid w:val="00F31806"/>
    <w:rsid w:val="00F968F9"/>
    <w:rsid w:val="00FB1A6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43A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159"/>
    <w:rPr>
      <w:szCs w:val="20"/>
    </w:rPr>
  </w:style>
  <w:style w:type="paragraph" w:styleId="Heading1">
    <w:name w:val="heading 1"/>
    <w:basedOn w:val="Normal"/>
    <w:next w:val="Normal"/>
    <w:link w:val="Heading1Char"/>
    <w:uiPriority w:val="9"/>
    <w:qFormat/>
    <w:rsid w:val="00230159"/>
    <w:pPr>
      <w:keepNext/>
      <w:outlineLvl w:val="0"/>
    </w:pPr>
    <w:rPr>
      <w:b/>
      <w:i/>
      <w:sz w:val="4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30159"/>
    <w:pPr>
      <w:jc w:val="center"/>
    </w:pPr>
    <w:rPr>
      <w:rFonts w:cstheme="minorBidi"/>
      <w:b/>
      <w:sz w:val="20"/>
      <w:szCs w:val="22"/>
    </w:rPr>
  </w:style>
  <w:style w:type="character" w:customStyle="1" w:styleId="Heading1Char">
    <w:name w:val="Heading 1 Char"/>
    <w:basedOn w:val="DefaultParagraphFont"/>
    <w:link w:val="Heading1"/>
    <w:rsid w:val="00230159"/>
    <w:rPr>
      <w:rFonts w:ascii="Times New Roman" w:eastAsia="Times New Roman" w:hAnsi="Times New Roman" w:cs="Times New Roman"/>
      <w:b/>
      <w:i/>
      <w:sz w:val="40"/>
      <w:szCs w:val="20"/>
    </w:rPr>
  </w:style>
  <w:style w:type="character" w:styleId="Hyperlink">
    <w:name w:val="Hyperlink"/>
    <w:uiPriority w:val="99"/>
    <w:rsid w:val="00230159"/>
    <w:rPr>
      <w:color w:val="0000FF"/>
      <w:u w:val="single"/>
    </w:rPr>
  </w:style>
  <w:style w:type="character" w:customStyle="1" w:styleId="TitleChar">
    <w:name w:val="Title Char"/>
    <w:link w:val="Title"/>
    <w:rsid w:val="00230159"/>
    <w:rPr>
      <w:rFonts w:ascii="Times New Roman" w:eastAsia="Times New Roman" w:hAnsi="Times New Roman"/>
      <w:b/>
      <w:sz w:val="20"/>
    </w:rPr>
  </w:style>
  <w:style w:type="character" w:customStyle="1" w:styleId="HeaderChar">
    <w:name w:val="Header Char"/>
    <w:link w:val="Header"/>
    <w:uiPriority w:val="99"/>
    <w:rsid w:val="00230159"/>
    <w:rPr>
      <w:rFonts w:ascii="Times New Roman" w:eastAsia="Times New Roman" w:hAnsi="Times New Roman"/>
      <w:sz w:val="24"/>
    </w:rPr>
  </w:style>
  <w:style w:type="character" w:customStyle="1" w:styleId="FooterChar">
    <w:name w:val="Footer Char"/>
    <w:link w:val="Footer"/>
    <w:uiPriority w:val="99"/>
    <w:rsid w:val="00230159"/>
    <w:rPr>
      <w:rFonts w:ascii="Times New Roman" w:eastAsia="Times New Roman" w:hAnsi="Times New Roman"/>
      <w:sz w:val="24"/>
    </w:rPr>
  </w:style>
  <w:style w:type="paragraph" w:styleId="Footer">
    <w:name w:val="footer"/>
    <w:basedOn w:val="Normal"/>
    <w:link w:val="FooterChar"/>
    <w:uiPriority w:val="99"/>
    <w:rsid w:val="00230159"/>
    <w:pPr>
      <w:tabs>
        <w:tab w:val="center" w:pos="4320"/>
        <w:tab w:val="right" w:pos="8640"/>
      </w:tabs>
    </w:pPr>
    <w:rPr>
      <w:rFonts w:cstheme="minorBidi"/>
      <w:szCs w:val="22"/>
    </w:rPr>
  </w:style>
  <w:style w:type="character" w:customStyle="1" w:styleId="FooterChar1">
    <w:name w:val="Footer Char1"/>
    <w:basedOn w:val="DefaultParagraphFont"/>
    <w:uiPriority w:val="99"/>
    <w:semiHidden/>
    <w:rsid w:val="00230159"/>
    <w:rPr>
      <w:rFonts w:ascii="Times New Roman" w:eastAsia="Times New Roman" w:hAnsi="Times New Roman" w:cs="Times New Roman"/>
      <w:sz w:val="24"/>
      <w:szCs w:val="20"/>
    </w:rPr>
  </w:style>
  <w:style w:type="paragraph" w:styleId="Header">
    <w:name w:val="header"/>
    <w:basedOn w:val="Normal"/>
    <w:link w:val="HeaderChar"/>
    <w:uiPriority w:val="99"/>
    <w:rsid w:val="00230159"/>
    <w:pPr>
      <w:tabs>
        <w:tab w:val="center" w:pos="4680"/>
        <w:tab w:val="right" w:pos="9360"/>
      </w:tabs>
    </w:pPr>
    <w:rPr>
      <w:rFonts w:cstheme="minorBidi"/>
      <w:szCs w:val="22"/>
    </w:rPr>
  </w:style>
  <w:style w:type="character" w:customStyle="1" w:styleId="HeaderChar1">
    <w:name w:val="Header Char1"/>
    <w:basedOn w:val="DefaultParagraphFont"/>
    <w:uiPriority w:val="99"/>
    <w:semiHidden/>
    <w:rsid w:val="00230159"/>
    <w:rPr>
      <w:rFonts w:ascii="Times New Roman" w:eastAsia="Times New Roman" w:hAnsi="Times New Roman" w:cs="Times New Roman"/>
      <w:sz w:val="24"/>
      <w:szCs w:val="20"/>
    </w:rPr>
  </w:style>
  <w:style w:type="paragraph" w:customStyle="1" w:styleId="PageNumber1">
    <w:name w:val="Page Number1"/>
    <w:basedOn w:val="Normal"/>
    <w:rsid w:val="00230159"/>
    <w:pPr>
      <w:suppressAutoHyphens/>
      <w:jc w:val="center"/>
    </w:pPr>
    <w:rPr>
      <w:rFonts w:ascii="Times" w:hAnsi="Times"/>
      <w:lang w:eastAsia="ar-SA"/>
    </w:rPr>
  </w:style>
  <w:style w:type="character" w:customStyle="1" w:styleId="TitleChar1">
    <w:name w:val="Title Char1"/>
    <w:basedOn w:val="DefaultParagraphFont"/>
    <w:uiPriority w:val="10"/>
    <w:rsid w:val="00230159"/>
    <w:rPr>
      <w:rFonts w:asciiTheme="majorHAnsi" w:eastAsiaTheme="majorEastAsia" w:hAnsiTheme="majorHAnsi" w:cstheme="majorBidi"/>
      <w:color w:val="17365D" w:themeColor="text2" w:themeShade="BF"/>
      <w:spacing w:val="5"/>
      <w:kern w:val="28"/>
      <w:sz w:val="52"/>
      <w:szCs w:val="52"/>
    </w:rPr>
  </w:style>
  <w:style w:type="paragraph" w:customStyle="1" w:styleId="AbstractTitle">
    <w:name w:val="Abstract Title"/>
    <w:basedOn w:val="Normal"/>
    <w:rsid w:val="00230159"/>
    <w:pPr>
      <w:ind w:left="567" w:right="567"/>
      <w:jc w:val="center"/>
    </w:pPr>
    <w:rPr>
      <w:rFonts w:ascii="Arial" w:hAnsi="Arial"/>
      <w:b/>
      <w:sz w:val="18"/>
      <w:lang w:val="en-GB" w:eastAsia="en-GB"/>
    </w:rPr>
  </w:style>
  <w:style w:type="table" w:styleId="TableGrid">
    <w:name w:val="Table Grid"/>
    <w:basedOn w:val="TableNormal"/>
    <w:uiPriority w:val="59"/>
    <w:rsid w:val="00230159"/>
    <w:rPr>
      <w:rFonts w:ascii="Calibri" w:eastAsia="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230159"/>
    <w:pPr>
      <w:spacing w:after="200" w:line="276" w:lineRule="auto"/>
      <w:ind w:left="720"/>
      <w:contextualSpacing/>
    </w:pPr>
    <w:rPr>
      <w:rFonts w:ascii="Calibri" w:eastAsia="Calibri" w:hAnsi="Calibri"/>
      <w:noProof/>
      <w:sz w:val="22"/>
      <w:szCs w:val="22"/>
      <w:lang w:val="id-ID"/>
    </w:rPr>
  </w:style>
  <w:style w:type="character" w:styleId="Emphasis">
    <w:name w:val="Emphasis"/>
    <w:basedOn w:val="DefaultParagraphFont"/>
    <w:uiPriority w:val="20"/>
    <w:qFormat/>
    <w:rsid w:val="00230159"/>
    <w:rPr>
      <w:i/>
      <w:iCs/>
    </w:rPr>
  </w:style>
  <w:style w:type="paragraph" w:styleId="BodyTextIndent2">
    <w:name w:val="Body Text Indent 2"/>
    <w:basedOn w:val="Normal"/>
    <w:link w:val="BodyTextIndent2Char"/>
    <w:uiPriority w:val="99"/>
    <w:semiHidden/>
    <w:unhideWhenUsed/>
    <w:rsid w:val="00230159"/>
    <w:pPr>
      <w:spacing w:after="120" w:line="480" w:lineRule="auto"/>
      <w:ind w:left="360"/>
    </w:pPr>
  </w:style>
  <w:style w:type="character" w:customStyle="1" w:styleId="BodyTextIndent2Char">
    <w:name w:val="Body Text Indent 2 Char"/>
    <w:basedOn w:val="DefaultParagraphFont"/>
    <w:link w:val="BodyTextIndent2"/>
    <w:uiPriority w:val="99"/>
    <w:semiHidden/>
    <w:rsid w:val="00230159"/>
    <w:rPr>
      <w:rFonts w:ascii="Times New Roman" w:eastAsia="Times New Roman" w:hAnsi="Times New Roman" w:cs="Times New Roman"/>
      <w:sz w:val="24"/>
      <w:szCs w:val="20"/>
    </w:rPr>
  </w:style>
  <w:style w:type="character" w:customStyle="1" w:styleId="highlighted">
    <w:name w:val="highlighted"/>
    <w:basedOn w:val="DefaultParagraphFont"/>
    <w:rsid w:val="00FF6B75"/>
  </w:style>
  <w:style w:type="character" w:customStyle="1" w:styleId="ListParagraphChar">
    <w:name w:val="List Paragraph Char"/>
    <w:aliases w:val="Body of text Char"/>
    <w:link w:val="ListParagraph"/>
    <w:uiPriority w:val="34"/>
    <w:locked/>
    <w:rsid w:val="00FF6B75"/>
    <w:rPr>
      <w:rFonts w:ascii="Calibri" w:eastAsia="Calibri" w:hAnsi="Calibri" w:cs="Times New Roman"/>
      <w:noProof/>
      <w:lang w:val="id-ID"/>
    </w:rPr>
  </w:style>
  <w:style w:type="paragraph" w:customStyle="1" w:styleId="Default">
    <w:name w:val="Default"/>
    <w:rsid w:val="00FF6B75"/>
    <w:pPr>
      <w:autoSpaceDE w:val="0"/>
      <w:autoSpaceDN w:val="0"/>
      <w:adjustRightInd w:val="0"/>
    </w:pPr>
    <w:rPr>
      <w:color w:val="000000"/>
      <w:lang w:val="id-ID"/>
    </w:rPr>
  </w:style>
  <w:style w:type="character" w:customStyle="1" w:styleId="A1">
    <w:name w:val="A1"/>
    <w:uiPriority w:val="99"/>
    <w:rsid w:val="00FF6B75"/>
    <w:rPr>
      <w:color w:val="000000"/>
      <w:sz w:val="18"/>
      <w:szCs w:val="18"/>
    </w:rPr>
  </w:style>
  <w:style w:type="paragraph" w:styleId="NormalWeb">
    <w:name w:val="Normal (Web)"/>
    <w:basedOn w:val="Normal"/>
    <w:uiPriority w:val="99"/>
    <w:semiHidden/>
    <w:unhideWhenUsed/>
    <w:rsid w:val="00A74D79"/>
    <w:rPr>
      <w:szCs w:val="24"/>
    </w:rPr>
  </w:style>
  <w:style w:type="paragraph" w:styleId="BalloonText">
    <w:name w:val="Balloon Text"/>
    <w:basedOn w:val="Normal"/>
    <w:link w:val="BalloonTextChar"/>
    <w:uiPriority w:val="99"/>
    <w:semiHidden/>
    <w:unhideWhenUsed/>
    <w:rsid w:val="00887190"/>
    <w:rPr>
      <w:rFonts w:ascii="Tahoma" w:hAnsi="Tahoma" w:cs="Tahoma"/>
      <w:sz w:val="16"/>
      <w:szCs w:val="16"/>
    </w:rPr>
  </w:style>
  <w:style w:type="character" w:customStyle="1" w:styleId="BalloonTextChar">
    <w:name w:val="Balloon Text Char"/>
    <w:basedOn w:val="DefaultParagraphFont"/>
    <w:link w:val="BalloonText"/>
    <w:uiPriority w:val="99"/>
    <w:semiHidden/>
    <w:rsid w:val="00887190"/>
    <w:rPr>
      <w:rFonts w:ascii="Tahoma" w:eastAsia="Times New Roman"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2">
    <w:basedOn w:val="TableNormal"/>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3">
    <w:basedOn w:val="TableNormal"/>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4">
    <w:basedOn w:val="TableNormal"/>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Style43">
    <w:name w:val="_Style 43"/>
    <w:basedOn w:val="TableNormal"/>
    <w:rsid w:val="000639CA"/>
    <w:rPr>
      <w:rFonts w:ascii="Calibri" w:hAnsi="Calibri" w:cs="Calibri"/>
      <w:sz w:val="20"/>
      <w:szCs w:val="20"/>
      <w:lang w:val="en-ID"/>
    </w:rPr>
    <w:tblPr>
      <w:tblInd w:w="0" w:type="dxa"/>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0639CA"/>
    <w:rPr>
      <w:color w:val="605E5C"/>
      <w:shd w:val="clear" w:color="auto" w:fill="E1DFDD"/>
    </w:rPr>
  </w:style>
  <w:style w:type="character" w:styleId="CommentReference">
    <w:name w:val="annotation reference"/>
    <w:basedOn w:val="DefaultParagraphFont"/>
    <w:uiPriority w:val="99"/>
    <w:semiHidden/>
    <w:unhideWhenUsed/>
    <w:rsid w:val="00A274B2"/>
    <w:rPr>
      <w:sz w:val="16"/>
      <w:szCs w:val="16"/>
    </w:rPr>
  </w:style>
  <w:style w:type="paragraph" w:styleId="CommentText">
    <w:name w:val="annotation text"/>
    <w:basedOn w:val="Normal"/>
    <w:link w:val="CommentTextChar"/>
    <w:uiPriority w:val="99"/>
    <w:semiHidden/>
    <w:unhideWhenUsed/>
    <w:rsid w:val="00A274B2"/>
    <w:rPr>
      <w:sz w:val="20"/>
    </w:rPr>
  </w:style>
  <w:style w:type="character" w:customStyle="1" w:styleId="CommentTextChar">
    <w:name w:val="Comment Text Char"/>
    <w:basedOn w:val="DefaultParagraphFont"/>
    <w:link w:val="CommentText"/>
    <w:uiPriority w:val="99"/>
    <w:semiHidden/>
    <w:rsid w:val="00A274B2"/>
    <w:rPr>
      <w:sz w:val="20"/>
      <w:szCs w:val="20"/>
    </w:rPr>
  </w:style>
  <w:style w:type="paragraph" w:styleId="CommentSubject">
    <w:name w:val="annotation subject"/>
    <w:basedOn w:val="CommentText"/>
    <w:next w:val="CommentText"/>
    <w:link w:val="CommentSubjectChar"/>
    <w:uiPriority w:val="99"/>
    <w:semiHidden/>
    <w:unhideWhenUsed/>
    <w:rsid w:val="00A274B2"/>
    <w:rPr>
      <w:b/>
      <w:bCs/>
    </w:rPr>
  </w:style>
  <w:style w:type="character" w:customStyle="1" w:styleId="CommentSubjectChar">
    <w:name w:val="Comment Subject Char"/>
    <w:basedOn w:val="CommentTextChar"/>
    <w:link w:val="CommentSubject"/>
    <w:uiPriority w:val="99"/>
    <w:semiHidden/>
    <w:rsid w:val="00A274B2"/>
    <w:rPr>
      <w:b/>
      <w:bCs/>
      <w:sz w:val="20"/>
      <w:szCs w:val="20"/>
    </w:rPr>
  </w:style>
  <w:style w:type="character" w:styleId="Strong">
    <w:name w:val="Strong"/>
    <w:basedOn w:val="DefaultParagraphFont"/>
    <w:uiPriority w:val="22"/>
    <w:qFormat/>
    <w:rsid w:val="00A274B2"/>
    <w:rPr>
      <w:b/>
      <w:bCs/>
    </w:rPr>
  </w:style>
  <w:style w:type="character" w:styleId="FootnoteReference">
    <w:name w:val="footnote reference"/>
    <w:basedOn w:val="DefaultParagraphFont"/>
    <w:uiPriority w:val="99"/>
    <w:semiHidden/>
    <w:unhideWhenUsed/>
    <w:rsid w:val="00CC3004"/>
    <w:rPr>
      <w:vertAlign w:val="superscript"/>
    </w:rPr>
  </w:style>
  <w:style w:type="paragraph" w:styleId="FootnoteText">
    <w:name w:val="footnote text"/>
    <w:basedOn w:val="Normal"/>
    <w:link w:val="FootnoteTextChar"/>
    <w:uiPriority w:val="99"/>
    <w:semiHidden/>
    <w:unhideWhenUsed/>
    <w:rsid w:val="003B560C"/>
    <w:rPr>
      <w:sz w:val="20"/>
    </w:rPr>
  </w:style>
  <w:style w:type="character" w:customStyle="1" w:styleId="FootnoteTextChar">
    <w:name w:val="Footnote Text Char"/>
    <w:basedOn w:val="DefaultParagraphFont"/>
    <w:link w:val="FootnoteText"/>
    <w:uiPriority w:val="99"/>
    <w:semiHidden/>
    <w:rsid w:val="003B560C"/>
    <w:rPr>
      <w:sz w:val="20"/>
      <w:szCs w:val="20"/>
    </w:rPr>
  </w:style>
  <w:style w:type="character" w:customStyle="1" w:styleId="UnresolvedMention2">
    <w:name w:val="Unresolved Mention2"/>
    <w:basedOn w:val="DefaultParagraphFont"/>
    <w:uiPriority w:val="99"/>
    <w:semiHidden/>
    <w:unhideWhenUsed/>
    <w:rsid w:val="007354F1"/>
    <w:rPr>
      <w:color w:val="605E5C"/>
      <w:shd w:val="clear" w:color="auto" w:fill="E1DFDD"/>
    </w:rPr>
  </w:style>
  <w:style w:type="character" w:customStyle="1" w:styleId="UnresolvedMention">
    <w:name w:val="Unresolved Mention"/>
    <w:basedOn w:val="DefaultParagraphFont"/>
    <w:uiPriority w:val="99"/>
    <w:semiHidden/>
    <w:unhideWhenUsed/>
    <w:rsid w:val="00AB577C"/>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159"/>
    <w:rPr>
      <w:szCs w:val="20"/>
    </w:rPr>
  </w:style>
  <w:style w:type="paragraph" w:styleId="Heading1">
    <w:name w:val="heading 1"/>
    <w:basedOn w:val="Normal"/>
    <w:next w:val="Normal"/>
    <w:link w:val="Heading1Char"/>
    <w:uiPriority w:val="9"/>
    <w:qFormat/>
    <w:rsid w:val="00230159"/>
    <w:pPr>
      <w:keepNext/>
      <w:outlineLvl w:val="0"/>
    </w:pPr>
    <w:rPr>
      <w:b/>
      <w:i/>
      <w:sz w:val="40"/>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30159"/>
    <w:pPr>
      <w:jc w:val="center"/>
    </w:pPr>
    <w:rPr>
      <w:rFonts w:cstheme="minorBidi"/>
      <w:b/>
      <w:sz w:val="20"/>
      <w:szCs w:val="22"/>
    </w:rPr>
  </w:style>
  <w:style w:type="character" w:customStyle="1" w:styleId="Heading1Char">
    <w:name w:val="Heading 1 Char"/>
    <w:basedOn w:val="DefaultParagraphFont"/>
    <w:link w:val="Heading1"/>
    <w:rsid w:val="00230159"/>
    <w:rPr>
      <w:rFonts w:ascii="Times New Roman" w:eastAsia="Times New Roman" w:hAnsi="Times New Roman" w:cs="Times New Roman"/>
      <w:b/>
      <w:i/>
      <w:sz w:val="40"/>
      <w:szCs w:val="20"/>
    </w:rPr>
  </w:style>
  <w:style w:type="character" w:styleId="Hyperlink">
    <w:name w:val="Hyperlink"/>
    <w:uiPriority w:val="99"/>
    <w:rsid w:val="00230159"/>
    <w:rPr>
      <w:color w:val="0000FF"/>
      <w:u w:val="single"/>
    </w:rPr>
  </w:style>
  <w:style w:type="character" w:customStyle="1" w:styleId="TitleChar">
    <w:name w:val="Title Char"/>
    <w:link w:val="Title"/>
    <w:rsid w:val="00230159"/>
    <w:rPr>
      <w:rFonts w:ascii="Times New Roman" w:eastAsia="Times New Roman" w:hAnsi="Times New Roman"/>
      <w:b/>
      <w:sz w:val="20"/>
    </w:rPr>
  </w:style>
  <w:style w:type="character" w:customStyle="1" w:styleId="HeaderChar">
    <w:name w:val="Header Char"/>
    <w:link w:val="Header"/>
    <w:uiPriority w:val="99"/>
    <w:rsid w:val="00230159"/>
    <w:rPr>
      <w:rFonts w:ascii="Times New Roman" w:eastAsia="Times New Roman" w:hAnsi="Times New Roman"/>
      <w:sz w:val="24"/>
    </w:rPr>
  </w:style>
  <w:style w:type="character" w:customStyle="1" w:styleId="FooterChar">
    <w:name w:val="Footer Char"/>
    <w:link w:val="Footer"/>
    <w:uiPriority w:val="99"/>
    <w:rsid w:val="00230159"/>
    <w:rPr>
      <w:rFonts w:ascii="Times New Roman" w:eastAsia="Times New Roman" w:hAnsi="Times New Roman"/>
      <w:sz w:val="24"/>
    </w:rPr>
  </w:style>
  <w:style w:type="paragraph" w:styleId="Footer">
    <w:name w:val="footer"/>
    <w:basedOn w:val="Normal"/>
    <w:link w:val="FooterChar"/>
    <w:uiPriority w:val="99"/>
    <w:rsid w:val="00230159"/>
    <w:pPr>
      <w:tabs>
        <w:tab w:val="center" w:pos="4320"/>
        <w:tab w:val="right" w:pos="8640"/>
      </w:tabs>
    </w:pPr>
    <w:rPr>
      <w:rFonts w:cstheme="minorBidi"/>
      <w:szCs w:val="22"/>
    </w:rPr>
  </w:style>
  <w:style w:type="character" w:customStyle="1" w:styleId="FooterChar1">
    <w:name w:val="Footer Char1"/>
    <w:basedOn w:val="DefaultParagraphFont"/>
    <w:uiPriority w:val="99"/>
    <w:semiHidden/>
    <w:rsid w:val="00230159"/>
    <w:rPr>
      <w:rFonts w:ascii="Times New Roman" w:eastAsia="Times New Roman" w:hAnsi="Times New Roman" w:cs="Times New Roman"/>
      <w:sz w:val="24"/>
      <w:szCs w:val="20"/>
    </w:rPr>
  </w:style>
  <w:style w:type="paragraph" w:styleId="Header">
    <w:name w:val="header"/>
    <w:basedOn w:val="Normal"/>
    <w:link w:val="HeaderChar"/>
    <w:uiPriority w:val="99"/>
    <w:rsid w:val="00230159"/>
    <w:pPr>
      <w:tabs>
        <w:tab w:val="center" w:pos="4680"/>
        <w:tab w:val="right" w:pos="9360"/>
      </w:tabs>
    </w:pPr>
    <w:rPr>
      <w:rFonts w:cstheme="minorBidi"/>
      <w:szCs w:val="22"/>
    </w:rPr>
  </w:style>
  <w:style w:type="character" w:customStyle="1" w:styleId="HeaderChar1">
    <w:name w:val="Header Char1"/>
    <w:basedOn w:val="DefaultParagraphFont"/>
    <w:uiPriority w:val="99"/>
    <w:semiHidden/>
    <w:rsid w:val="00230159"/>
    <w:rPr>
      <w:rFonts w:ascii="Times New Roman" w:eastAsia="Times New Roman" w:hAnsi="Times New Roman" w:cs="Times New Roman"/>
      <w:sz w:val="24"/>
      <w:szCs w:val="20"/>
    </w:rPr>
  </w:style>
  <w:style w:type="paragraph" w:customStyle="1" w:styleId="PageNumber1">
    <w:name w:val="Page Number1"/>
    <w:basedOn w:val="Normal"/>
    <w:rsid w:val="00230159"/>
    <w:pPr>
      <w:suppressAutoHyphens/>
      <w:jc w:val="center"/>
    </w:pPr>
    <w:rPr>
      <w:rFonts w:ascii="Times" w:hAnsi="Times"/>
      <w:lang w:eastAsia="ar-SA"/>
    </w:rPr>
  </w:style>
  <w:style w:type="character" w:customStyle="1" w:styleId="TitleChar1">
    <w:name w:val="Title Char1"/>
    <w:basedOn w:val="DefaultParagraphFont"/>
    <w:uiPriority w:val="10"/>
    <w:rsid w:val="00230159"/>
    <w:rPr>
      <w:rFonts w:asciiTheme="majorHAnsi" w:eastAsiaTheme="majorEastAsia" w:hAnsiTheme="majorHAnsi" w:cstheme="majorBidi"/>
      <w:color w:val="17365D" w:themeColor="text2" w:themeShade="BF"/>
      <w:spacing w:val="5"/>
      <w:kern w:val="28"/>
      <w:sz w:val="52"/>
      <w:szCs w:val="52"/>
    </w:rPr>
  </w:style>
  <w:style w:type="paragraph" w:customStyle="1" w:styleId="AbstractTitle">
    <w:name w:val="Abstract Title"/>
    <w:basedOn w:val="Normal"/>
    <w:rsid w:val="00230159"/>
    <w:pPr>
      <w:ind w:left="567" w:right="567"/>
      <w:jc w:val="center"/>
    </w:pPr>
    <w:rPr>
      <w:rFonts w:ascii="Arial" w:hAnsi="Arial"/>
      <w:b/>
      <w:sz w:val="18"/>
      <w:lang w:val="en-GB" w:eastAsia="en-GB"/>
    </w:rPr>
  </w:style>
  <w:style w:type="table" w:styleId="TableGrid">
    <w:name w:val="Table Grid"/>
    <w:basedOn w:val="TableNormal"/>
    <w:uiPriority w:val="59"/>
    <w:rsid w:val="00230159"/>
    <w:rPr>
      <w:rFonts w:ascii="Calibri" w:eastAsia="Calibri" w:hAnsi="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
    <w:basedOn w:val="Normal"/>
    <w:link w:val="ListParagraphChar"/>
    <w:uiPriority w:val="34"/>
    <w:qFormat/>
    <w:rsid w:val="00230159"/>
    <w:pPr>
      <w:spacing w:after="200" w:line="276" w:lineRule="auto"/>
      <w:ind w:left="720"/>
      <w:contextualSpacing/>
    </w:pPr>
    <w:rPr>
      <w:rFonts w:ascii="Calibri" w:eastAsia="Calibri" w:hAnsi="Calibri"/>
      <w:noProof/>
      <w:sz w:val="22"/>
      <w:szCs w:val="22"/>
      <w:lang w:val="id-ID"/>
    </w:rPr>
  </w:style>
  <w:style w:type="character" w:styleId="Emphasis">
    <w:name w:val="Emphasis"/>
    <w:basedOn w:val="DefaultParagraphFont"/>
    <w:uiPriority w:val="20"/>
    <w:qFormat/>
    <w:rsid w:val="00230159"/>
    <w:rPr>
      <w:i/>
      <w:iCs/>
    </w:rPr>
  </w:style>
  <w:style w:type="paragraph" w:styleId="BodyTextIndent2">
    <w:name w:val="Body Text Indent 2"/>
    <w:basedOn w:val="Normal"/>
    <w:link w:val="BodyTextIndent2Char"/>
    <w:uiPriority w:val="99"/>
    <w:semiHidden/>
    <w:unhideWhenUsed/>
    <w:rsid w:val="00230159"/>
    <w:pPr>
      <w:spacing w:after="120" w:line="480" w:lineRule="auto"/>
      <w:ind w:left="360"/>
    </w:pPr>
  </w:style>
  <w:style w:type="character" w:customStyle="1" w:styleId="BodyTextIndent2Char">
    <w:name w:val="Body Text Indent 2 Char"/>
    <w:basedOn w:val="DefaultParagraphFont"/>
    <w:link w:val="BodyTextIndent2"/>
    <w:uiPriority w:val="99"/>
    <w:semiHidden/>
    <w:rsid w:val="00230159"/>
    <w:rPr>
      <w:rFonts w:ascii="Times New Roman" w:eastAsia="Times New Roman" w:hAnsi="Times New Roman" w:cs="Times New Roman"/>
      <w:sz w:val="24"/>
      <w:szCs w:val="20"/>
    </w:rPr>
  </w:style>
  <w:style w:type="character" w:customStyle="1" w:styleId="highlighted">
    <w:name w:val="highlighted"/>
    <w:basedOn w:val="DefaultParagraphFont"/>
    <w:rsid w:val="00FF6B75"/>
  </w:style>
  <w:style w:type="character" w:customStyle="1" w:styleId="ListParagraphChar">
    <w:name w:val="List Paragraph Char"/>
    <w:aliases w:val="Body of text Char"/>
    <w:link w:val="ListParagraph"/>
    <w:uiPriority w:val="34"/>
    <w:locked/>
    <w:rsid w:val="00FF6B75"/>
    <w:rPr>
      <w:rFonts w:ascii="Calibri" w:eastAsia="Calibri" w:hAnsi="Calibri" w:cs="Times New Roman"/>
      <w:noProof/>
      <w:lang w:val="id-ID"/>
    </w:rPr>
  </w:style>
  <w:style w:type="paragraph" w:customStyle="1" w:styleId="Default">
    <w:name w:val="Default"/>
    <w:rsid w:val="00FF6B75"/>
    <w:pPr>
      <w:autoSpaceDE w:val="0"/>
      <w:autoSpaceDN w:val="0"/>
      <w:adjustRightInd w:val="0"/>
    </w:pPr>
    <w:rPr>
      <w:color w:val="000000"/>
      <w:lang w:val="id-ID"/>
    </w:rPr>
  </w:style>
  <w:style w:type="character" w:customStyle="1" w:styleId="A1">
    <w:name w:val="A1"/>
    <w:uiPriority w:val="99"/>
    <w:rsid w:val="00FF6B75"/>
    <w:rPr>
      <w:color w:val="000000"/>
      <w:sz w:val="18"/>
      <w:szCs w:val="18"/>
    </w:rPr>
  </w:style>
  <w:style w:type="paragraph" w:styleId="NormalWeb">
    <w:name w:val="Normal (Web)"/>
    <w:basedOn w:val="Normal"/>
    <w:uiPriority w:val="99"/>
    <w:semiHidden/>
    <w:unhideWhenUsed/>
    <w:rsid w:val="00A74D79"/>
    <w:rPr>
      <w:szCs w:val="24"/>
    </w:rPr>
  </w:style>
  <w:style w:type="paragraph" w:styleId="BalloonText">
    <w:name w:val="Balloon Text"/>
    <w:basedOn w:val="Normal"/>
    <w:link w:val="BalloonTextChar"/>
    <w:uiPriority w:val="99"/>
    <w:semiHidden/>
    <w:unhideWhenUsed/>
    <w:rsid w:val="00887190"/>
    <w:rPr>
      <w:rFonts w:ascii="Tahoma" w:hAnsi="Tahoma" w:cs="Tahoma"/>
      <w:sz w:val="16"/>
      <w:szCs w:val="16"/>
    </w:rPr>
  </w:style>
  <w:style w:type="character" w:customStyle="1" w:styleId="BalloonTextChar">
    <w:name w:val="Balloon Text Char"/>
    <w:basedOn w:val="DefaultParagraphFont"/>
    <w:link w:val="BalloonText"/>
    <w:uiPriority w:val="99"/>
    <w:semiHidden/>
    <w:rsid w:val="00887190"/>
    <w:rPr>
      <w:rFonts w:ascii="Tahoma" w:eastAsia="Times New Roman"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2">
    <w:basedOn w:val="TableNormal"/>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3">
    <w:basedOn w:val="TableNormal"/>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a4">
    <w:basedOn w:val="TableNormal"/>
    <w:rPr>
      <w:rFonts w:ascii="Calibri" w:eastAsia="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Style43">
    <w:name w:val="_Style 43"/>
    <w:basedOn w:val="TableNormal"/>
    <w:rsid w:val="000639CA"/>
    <w:rPr>
      <w:rFonts w:ascii="Calibri" w:hAnsi="Calibri" w:cs="Calibri"/>
      <w:sz w:val="20"/>
      <w:szCs w:val="20"/>
      <w:lang w:val="en-ID"/>
    </w:rPr>
    <w:tblPr>
      <w:tblInd w:w="0" w:type="dxa"/>
      <w:tblCellMar>
        <w:top w:w="0" w:type="dxa"/>
        <w:left w:w="0" w:type="dxa"/>
        <w:bottom w:w="0" w:type="dxa"/>
        <w:right w:w="0" w:type="dxa"/>
      </w:tblCellMar>
    </w:tblPr>
  </w:style>
  <w:style w:type="character" w:customStyle="1" w:styleId="UnresolvedMention1">
    <w:name w:val="Unresolved Mention1"/>
    <w:basedOn w:val="DefaultParagraphFont"/>
    <w:uiPriority w:val="99"/>
    <w:semiHidden/>
    <w:unhideWhenUsed/>
    <w:rsid w:val="000639CA"/>
    <w:rPr>
      <w:color w:val="605E5C"/>
      <w:shd w:val="clear" w:color="auto" w:fill="E1DFDD"/>
    </w:rPr>
  </w:style>
  <w:style w:type="character" w:styleId="CommentReference">
    <w:name w:val="annotation reference"/>
    <w:basedOn w:val="DefaultParagraphFont"/>
    <w:uiPriority w:val="99"/>
    <w:semiHidden/>
    <w:unhideWhenUsed/>
    <w:rsid w:val="00A274B2"/>
    <w:rPr>
      <w:sz w:val="16"/>
      <w:szCs w:val="16"/>
    </w:rPr>
  </w:style>
  <w:style w:type="paragraph" w:styleId="CommentText">
    <w:name w:val="annotation text"/>
    <w:basedOn w:val="Normal"/>
    <w:link w:val="CommentTextChar"/>
    <w:uiPriority w:val="99"/>
    <w:semiHidden/>
    <w:unhideWhenUsed/>
    <w:rsid w:val="00A274B2"/>
    <w:rPr>
      <w:sz w:val="20"/>
    </w:rPr>
  </w:style>
  <w:style w:type="character" w:customStyle="1" w:styleId="CommentTextChar">
    <w:name w:val="Comment Text Char"/>
    <w:basedOn w:val="DefaultParagraphFont"/>
    <w:link w:val="CommentText"/>
    <w:uiPriority w:val="99"/>
    <w:semiHidden/>
    <w:rsid w:val="00A274B2"/>
    <w:rPr>
      <w:sz w:val="20"/>
      <w:szCs w:val="20"/>
    </w:rPr>
  </w:style>
  <w:style w:type="paragraph" w:styleId="CommentSubject">
    <w:name w:val="annotation subject"/>
    <w:basedOn w:val="CommentText"/>
    <w:next w:val="CommentText"/>
    <w:link w:val="CommentSubjectChar"/>
    <w:uiPriority w:val="99"/>
    <w:semiHidden/>
    <w:unhideWhenUsed/>
    <w:rsid w:val="00A274B2"/>
    <w:rPr>
      <w:b/>
      <w:bCs/>
    </w:rPr>
  </w:style>
  <w:style w:type="character" w:customStyle="1" w:styleId="CommentSubjectChar">
    <w:name w:val="Comment Subject Char"/>
    <w:basedOn w:val="CommentTextChar"/>
    <w:link w:val="CommentSubject"/>
    <w:uiPriority w:val="99"/>
    <w:semiHidden/>
    <w:rsid w:val="00A274B2"/>
    <w:rPr>
      <w:b/>
      <w:bCs/>
      <w:sz w:val="20"/>
      <w:szCs w:val="20"/>
    </w:rPr>
  </w:style>
  <w:style w:type="character" w:styleId="Strong">
    <w:name w:val="Strong"/>
    <w:basedOn w:val="DefaultParagraphFont"/>
    <w:uiPriority w:val="22"/>
    <w:qFormat/>
    <w:rsid w:val="00A274B2"/>
    <w:rPr>
      <w:b/>
      <w:bCs/>
    </w:rPr>
  </w:style>
  <w:style w:type="character" w:styleId="FootnoteReference">
    <w:name w:val="footnote reference"/>
    <w:basedOn w:val="DefaultParagraphFont"/>
    <w:uiPriority w:val="99"/>
    <w:semiHidden/>
    <w:unhideWhenUsed/>
    <w:rsid w:val="00CC3004"/>
    <w:rPr>
      <w:vertAlign w:val="superscript"/>
    </w:rPr>
  </w:style>
  <w:style w:type="paragraph" w:styleId="FootnoteText">
    <w:name w:val="footnote text"/>
    <w:basedOn w:val="Normal"/>
    <w:link w:val="FootnoteTextChar"/>
    <w:uiPriority w:val="99"/>
    <w:semiHidden/>
    <w:unhideWhenUsed/>
    <w:rsid w:val="003B560C"/>
    <w:rPr>
      <w:sz w:val="20"/>
    </w:rPr>
  </w:style>
  <w:style w:type="character" w:customStyle="1" w:styleId="FootnoteTextChar">
    <w:name w:val="Footnote Text Char"/>
    <w:basedOn w:val="DefaultParagraphFont"/>
    <w:link w:val="FootnoteText"/>
    <w:uiPriority w:val="99"/>
    <w:semiHidden/>
    <w:rsid w:val="003B560C"/>
    <w:rPr>
      <w:sz w:val="20"/>
      <w:szCs w:val="20"/>
    </w:rPr>
  </w:style>
  <w:style w:type="character" w:customStyle="1" w:styleId="UnresolvedMention2">
    <w:name w:val="Unresolved Mention2"/>
    <w:basedOn w:val="DefaultParagraphFont"/>
    <w:uiPriority w:val="99"/>
    <w:semiHidden/>
    <w:unhideWhenUsed/>
    <w:rsid w:val="007354F1"/>
    <w:rPr>
      <w:color w:val="605E5C"/>
      <w:shd w:val="clear" w:color="auto" w:fill="E1DFDD"/>
    </w:rPr>
  </w:style>
  <w:style w:type="character" w:customStyle="1" w:styleId="UnresolvedMention">
    <w:name w:val="Unresolved Mention"/>
    <w:basedOn w:val="DefaultParagraphFont"/>
    <w:uiPriority w:val="99"/>
    <w:semiHidden/>
    <w:unhideWhenUsed/>
    <w:rsid w:val="00AB57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29807">
      <w:bodyDiv w:val="1"/>
      <w:marLeft w:val="0"/>
      <w:marRight w:val="0"/>
      <w:marTop w:val="0"/>
      <w:marBottom w:val="0"/>
      <w:divBdr>
        <w:top w:val="none" w:sz="0" w:space="0" w:color="auto"/>
        <w:left w:val="none" w:sz="0" w:space="0" w:color="auto"/>
        <w:bottom w:val="none" w:sz="0" w:space="0" w:color="auto"/>
        <w:right w:val="none" w:sz="0" w:space="0" w:color="auto"/>
      </w:divBdr>
    </w:div>
    <w:div w:id="29300895">
      <w:bodyDiv w:val="1"/>
      <w:marLeft w:val="0"/>
      <w:marRight w:val="0"/>
      <w:marTop w:val="0"/>
      <w:marBottom w:val="0"/>
      <w:divBdr>
        <w:top w:val="none" w:sz="0" w:space="0" w:color="auto"/>
        <w:left w:val="none" w:sz="0" w:space="0" w:color="auto"/>
        <w:bottom w:val="none" w:sz="0" w:space="0" w:color="auto"/>
        <w:right w:val="none" w:sz="0" w:space="0" w:color="auto"/>
      </w:divBdr>
    </w:div>
    <w:div w:id="52822857">
      <w:bodyDiv w:val="1"/>
      <w:marLeft w:val="0"/>
      <w:marRight w:val="0"/>
      <w:marTop w:val="0"/>
      <w:marBottom w:val="0"/>
      <w:divBdr>
        <w:top w:val="none" w:sz="0" w:space="0" w:color="auto"/>
        <w:left w:val="none" w:sz="0" w:space="0" w:color="auto"/>
        <w:bottom w:val="none" w:sz="0" w:space="0" w:color="auto"/>
        <w:right w:val="none" w:sz="0" w:space="0" w:color="auto"/>
      </w:divBdr>
    </w:div>
    <w:div w:id="93330979">
      <w:bodyDiv w:val="1"/>
      <w:marLeft w:val="0"/>
      <w:marRight w:val="0"/>
      <w:marTop w:val="0"/>
      <w:marBottom w:val="0"/>
      <w:divBdr>
        <w:top w:val="none" w:sz="0" w:space="0" w:color="auto"/>
        <w:left w:val="none" w:sz="0" w:space="0" w:color="auto"/>
        <w:bottom w:val="none" w:sz="0" w:space="0" w:color="auto"/>
        <w:right w:val="none" w:sz="0" w:space="0" w:color="auto"/>
      </w:divBdr>
    </w:div>
    <w:div w:id="121116169">
      <w:bodyDiv w:val="1"/>
      <w:marLeft w:val="0"/>
      <w:marRight w:val="0"/>
      <w:marTop w:val="0"/>
      <w:marBottom w:val="0"/>
      <w:divBdr>
        <w:top w:val="none" w:sz="0" w:space="0" w:color="auto"/>
        <w:left w:val="none" w:sz="0" w:space="0" w:color="auto"/>
        <w:bottom w:val="none" w:sz="0" w:space="0" w:color="auto"/>
        <w:right w:val="none" w:sz="0" w:space="0" w:color="auto"/>
      </w:divBdr>
    </w:div>
    <w:div w:id="199436076">
      <w:bodyDiv w:val="1"/>
      <w:marLeft w:val="0"/>
      <w:marRight w:val="0"/>
      <w:marTop w:val="0"/>
      <w:marBottom w:val="0"/>
      <w:divBdr>
        <w:top w:val="none" w:sz="0" w:space="0" w:color="auto"/>
        <w:left w:val="none" w:sz="0" w:space="0" w:color="auto"/>
        <w:bottom w:val="none" w:sz="0" w:space="0" w:color="auto"/>
        <w:right w:val="none" w:sz="0" w:space="0" w:color="auto"/>
      </w:divBdr>
    </w:div>
    <w:div w:id="368990649">
      <w:bodyDiv w:val="1"/>
      <w:marLeft w:val="0"/>
      <w:marRight w:val="0"/>
      <w:marTop w:val="0"/>
      <w:marBottom w:val="0"/>
      <w:divBdr>
        <w:top w:val="none" w:sz="0" w:space="0" w:color="auto"/>
        <w:left w:val="none" w:sz="0" w:space="0" w:color="auto"/>
        <w:bottom w:val="none" w:sz="0" w:space="0" w:color="auto"/>
        <w:right w:val="none" w:sz="0" w:space="0" w:color="auto"/>
      </w:divBdr>
    </w:div>
    <w:div w:id="435515668">
      <w:bodyDiv w:val="1"/>
      <w:marLeft w:val="0"/>
      <w:marRight w:val="0"/>
      <w:marTop w:val="0"/>
      <w:marBottom w:val="0"/>
      <w:divBdr>
        <w:top w:val="none" w:sz="0" w:space="0" w:color="auto"/>
        <w:left w:val="none" w:sz="0" w:space="0" w:color="auto"/>
        <w:bottom w:val="none" w:sz="0" w:space="0" w:color="auto"/>
        <w:right w:val="none" w:sz="0" w:space="0" w:color="auto"/>
      </w:divBdr>
    </w:div>
    <w:div w:id="519395404">
      <w:bodyDiv w:val="1"/>
      <w:marLeft w:val="0"/>
      <w:marRight w:val="0"/>
      <w:marTop w:val="0"/>
      <w:marBottom w:val="0"/>
      <w:divBdr>
        <w:top w:val="none" w:sz="0" w:space="0" w:color="auto"/>
        <w:left w:val="none" w:sz="0" w:space="0" w:color="auto"/>
        <w:bottom w:val="none" w:sz="0" w:space="0" w:color="auto"/>
        <w:right w:val="none" w:sz="0" w:space="0" w:color="auto"/>
      </w:divBdr>
    </w:div>
    <w:div w:id="542330576">
      <w:bodyDiv w:val="1"/>
      <w:marLeft w:val="0"/>
      <w:marRight w:val="0"/>
      <w:marTop w:val="0"/>
      <w:marBottom w:val="0"/>
      <w:divBdr>
        <w:top w:val="none" w:sz="0" w:space="0" w:color="auto"/>
        <w:left w:val="none" w:sz="0" w:space="0" w:color="auto"/>
        <w:bottom w:val="none" w:sz="0" w:space="0" w:color="auto"/>
        <w:right w:val="none" w:sz="0" w:space="0" w:color="auto"/>
      </w:divBdr>
    </w:div>
    <w:div w:id="545993410">
      <w:bodyDiv w:val="1"/>
      <w:marLeft w:val="0"/>
      <w:marRight w:val="0"/>
      <w:marTop w:val="0"/>
      <w:marBottom w:val="0"/>
      <w:divBdr>
        <w:top w:val="none" w:sz="0" w:space="0" w:color="auto"/>
        <w:left w:val="none" w:sz="0" w:space="0" w:color="auto"/>
        <w:bottom w:val="none" w:sz="0" w:space="0" w:color="auto"/>
        <w:right w:val="none" w:sz="0" w:space="0" w:color="auto"/>
      </w:divBdr>
    </w:div>
    <w:div w:id="598828731">
      <w:bodyDiv w:val="1"/>
      <w:marLeft w:val="0"/>
      <w:marRight w:val="0"/>
      <w:marTop w:val="0"/>
      <w:marBottom w:val="0"/>
      <w:divBdr>
        <w:top w:val="none" w:sz="0" w:space="0" w:color="auto"/>
        <w:left w:val="none" w:sz="0" w:space="0" w:color="auto"/>
        <w:bottom w:val="none" w:sz="0" w:space="0" w:color="auto"/>
        <w:right w:val="none" w:sz="0" w:space="0" w:color="auto"/>
      </w:divBdr>
    </w:div>
    <w:div w:id="672147055">
      <w:bodyDiv w:val="1"/>
      <w:marLeft w:val="0"/>
      <w:marRight w:val="0"/>
      <w:marTop w:val="0"/>
      <w:marBottom w:val="0"/>
      <w:divBdr>
        <w:top w:val="none" w:sz="0" w:space="0" w:color="auto"/>
        <w:left w:val="none" w:sz="0" w:space="0" w:color="auto"/>
        <w:bottom w:val="none" w:sz="0" w:space="0" w:color="auto"/>
        <w:right w:val="none" w:sz="0" w:space="0" w:color="auto"/>
      </w:divBdr>
    </w:div>
    <w:div w:id="699890180">
      <w:bodyDiv w:val="1"/>
      <w:marLeft w:val="0"/>
      <w:marRight w:val="0"/>
      <w:marTop w:val="0"/>
      <w:marBottom w:val="0"/>
      <w:divBdr>
        <w:top w:val="none" w:sz="0" w:space="0" w:color="auto"/>
        <w:left w:val="none" w:sz="0" w:space="0" w:color="auto"/>
        <w:bottom w:val="none" w:sz="0" w:space="0" w:color="auto"/>
        <w:right w:val="none" w:sz="0" w:space="0" w:color="auto"/>
      </w:divBdr>
    </w:div>
    <w:div w:id="711854678">
      <w:bodyDiv w:val="1"/>
      <w:marLeft w:val="0"/>
      <w:marRight w:val="0"/>
      <w:marTop w:val="0"/>
      <w:marBottom w:val="0"/>
      <w:divBdr>
        <w:top w:val="none" w:sz="0" w:space="0" w:color="auto"/>
        <w:left w:val="none" w:sz="0" w:space="0" w:color="auto"/>
        <w:bottom w:val="none" w:sz="0" w:space="0" w:color="auto"/>
        <w:right w:val="none" w:sz="0" w:space="0" w:color="auto"/>
      </w:divBdr>
    </w:div>
    <w:div w:id="805661282">
      <w:bodyDiv w:val="1"/>
      <w:marLeft w:val="0"/>
      <w:marRight w:val="0"/>
      <w:marTop w:val="0"/>
      <w:marBottom w:val="0"/>
      <w:divBdr>
        <w:top w:val="none" w:sz="0" w:space="0" w:color="auto"/>
        <w:left w:val="none" w:sz="0" w:space="0" w:color="auto"/>
        <w:bottom w:val="none" w:sz="0" w:space="0" w:color="auto"/>
        <w:right w:val="none" w:sz="0" w:space="0" w:color="auto"/>
      </w:divBdr>
    </w:div>
    <w:div w:id="814494868">
      <w:bodyDiv w:val="1"/>
      <w:marLeft w:val="0"/>
      <w:marRight w:val="0"/>
      <w:marTop w:val="0"/>
      <w:marBottom w:val="0"/>
      <w:divBdr>
        <w:top w:val="none" w:sz="0" w:space="0" w:color="auto"/>
        <w:left w:val="none" w:sz="0" w:space="0" w:color="auto"/>
        <w:bottom w:val="none" w:sz="0" w:space="0" w:color="auto"/>
        <w:right w:val="none" w:sz="0" w:space="0" w:color="auto"/>
      </w:divBdr>
    </w:div>
    <w:div w:id="849418569">
      <w:bodyDiv w:val="1"/>
      <w:marLeft w:val="0"/>
      <w:marRight w:val="0"/>
      <w:marTop w:val="0"/>
      <w:marBottom w:val="0"/>
      <w:divBdr>
        <w:top w:val="none" w:sz="0" w:space="0" w:color="auto"/>
        <w:left w:val="none" w:sz="0" w:space="0" w:color="auto"/>
        <w:bottom w:val="none" w:sz="0" w:space="0" w:color="auto"/>
        <w:right w:val="none" w:sz="0" w:space="0" w:color="auto"/>
      </w:divBdr>
    </w:div>
    <w:div w:id="968626384">
      <w:bodyDiv w:val="1"/>
      <w:marLeft w:val="0"/>
      <w:marRight w:val="0"/>
      <w:marTop w:val="0"/>
      <w:marBottom w:val="0"/>
      <w:divBdr>
        <w:top w:val="none" w:sz="0" w:space="0" w:color="auto"/>
        <w:left w:val="none" w:sz="0" w:space="0" w:color="auto"/>
        <w:bottom w:val="none" w:sz="0" w:space="0" w:color="auto"/>
        <w:right w:val="none" w:sz="0" w:space="0" w:color="auto"/>
      </w:divBdr>
    </w:div>
    <w:div w:id="1266619961">
      <w:bodyDiv w:val="1"/>
      <w:marLeft w:val="0"/>
      <w:marRight w:val="0"/>
      <w:marTop w:val="0"/>
      <w:marBottom w:val="0"/>
      <w:divBdr>
        <w:top w:val="none" w:sz="0" w:space="0" w:color="auto"/>
        <w:left w:val="none" w:sz="0" w:space="0" w:color="auto"/>
        <w:bottom w:val="none" w:sz="0" w:space="0" w:color="auto"/>
        <w:right w:val="none" w:sz="0" w:space="0" w:color="auto"/>
      </w:divBdr>
    </w:div>
    <w:div w:id="1448811258">
      <w:bodyDiv w:val="1"/>
      <w:marLeft w:val="0"/>
      <w:marRight w:val="0"/>
      <w:marTop w:val="0"/>
      <w:marBottom w:val="0"/>
      <w:divBdr>
        <w:top w:val="none" w:sz="0" w:space="0" w:color="auto"/>
        <w:left w:val="none" w:sz="0" w:space="0" w:color="auto"/>
        <w:bottom w:val="none" w:sz="0" w:space="0" w:color="auto"/>
        <w:right w:val="none" w:sz="0" w:space="0" w:color="auto"/>
      </w:divBdr>
    </w:div>
    <w:div w:id="1458377654">
      <w:bodyDiv w:val="1"/>
      <w:marLeft w:val="0"/>
      <w:marRight w:val="0"/>
      <w:marTop w:val="0"/>
      <w:marBottom w:val="0"/>
      <w:divBdr>
        <w:top w:val="none" w:sz="0" w:space="0" w:color="auto"/>
        <w:left w:val="none" w:sz="0" w:space="0" w:color="auto"/>
        <w:bottom w:val="none" w:sz="0" w:space="0" w:color="auto"/>
        <w:right w:val="none" w:sz="0" w:space="0" w:color="auto"/>
      </w:divBdr>
    </w:div>
    <w:div w:id="1472167264">
      <w:bodyDiv w:val="1"/>
      <w:marLeft w:val="0"/>
      <w:marRight w:val="0"/>
      <w:marTop w:val="0"/>
      <w:marBottom w:val="0"/>
      <w:divBdr>
        <w:top w:val="none" w:sz="0" w:space="0" w:color="auto"/>
        <w:left w:val="none" w:sz="0" w:space="0" w:color="auto"/>
        <w:bottom w:val="none" w:sz="0" w:space="0" w:color="auto"/>
        <w:right w:val="none" w:sz="0" w:space="0" w:color="auto"/>
      </w:divBdr>
    </w:div>
    <w:div w:id="1551839016">
      <w:bodyDiv w:val="1"/>
      <w:marLeft w:val="0"/>
      <w:marRight w:val="0"/>
      <w:marTop w:val="0"/>
      <w:marBottom w:val="0"/>
      <w:divBdr>
        <w:top w:val="none" w:sz="0" w:space="0" w:color="auto"/>
        <w:left w:val="none" w:sz="0" w:space="0" w:color="auto"/>
        <w:bottom w:val="none" w:sz="0" w:space="0" w:color="auto"/>
        <w:right w:val="none" w:sz="0" w:space="0" w:color="auto"/>
      </w:divBdr>
    </w:div>
    <w:div w:id="1582182593">
      <w:bodyDiv w:val="1"/>
      <w:marLeft w:val="0"/>
      <w:marRight w:val="0"/>
      <w:marTop w:val="0"/>
      <w:marBottom w:val="0"/>
      <w:divBdr>
        <w:top w:val="none" w:sz="0" w:space="0" w:color="auto"/>
        <w:left w:val="none" w:sz="0" w:space="0" w:color="auto"/>
        <w:bottom w:val="none" w:sz="0" w:space="0" w:color="auto"/>
        <w:right w:val="none" w:sz="0" w:space="0" w:color="auto"/>
      </w:divBdr>
    </w:div>
    <w:div w:id="1596787905">
      <w:bodyDiv w:val="1"/>
      <w:marLeft w:val="0"/>
      <w:marRight w:val="0"/>
      <w:marTop w:val="0"/>
      <w:marBottom w:val="0"/>
      <w:divBdr>
        <w:top w:val="none" w:sz="0" w:space="0" w:color="auto"/>
        <w:left w:val="none" w:sz="0" w:space="0" w:color="auto"/>
        <w:bottom w:val="none" w:sz="0" w:space="0" w:color="auto"/>
        <w:right w:val="none" w:sz="0" w:space="0" w:color="auto"/>
      </w:divBdr>
    </w:div>
    <w:div w:id="1659455232">
      <w:bodyDiv w:val="1"/>
      <w:marLeft w:val="0"/>
      <w:marRight w:val="0"/>
      <w:marTop w:val="0"/>
      <w:marBottom w:val="0"/>
      <w:divBdr>
        <w:top w:val="none" w:sz="0" w:space="0" w:color="auto"/>
        <w:left w:val="none" w:sz="0" w:space="0" w:color="auto"/>
        <w:bottom w:val="none" w:sz="0" w:space="0" w:color="auto"/>
        <w:right w:val="none" w:sz="0" w:space="0" w:color="auto"/>
      </w:divBdr>
    </w:div>
    <w:div w:id="1705405503">
      <w:bodyDiv w:val="1"/>
      <w:marLeft w:val="0"/>
      <w:marRight w:val="0"/>
      <w:marTop w:val="0"/>
      <w:marBottom w:val="0"/>
      <w:divBdr>
        <w:top w:val="none" w:sz="0" w:space="0" w:color="auto"/>
        <w:left w:val="none" w:sz="0" w:space="0" w:color="auto"/>
        <w:bottom w:val="none" w:sz="0" w:space="0" w:color="auto"/>
        <w:right w:val="none" w:sz="0" w:space="0" w:color="auto"/>
      </w:divBdr>
    </w:div>
    <w:div w:id="1723552279">
      <w:bodyDiv w:val="1"/>
      <w:marLeft w:val="0"/>
      <w:marRight w:val="0"/>
      <w:marTop w:val="0"/>
      <w:marBottom w:val="0"/>
      <w:divBdr>
        <w:top w:val="none" w:sz="0" w:space="0" w:color="auto"/>
        <w:left w:val="none" w:sz="0" w:space="0" w:color="auto"/>
        <w:bottom w:val="none" w:sz="0" w:space="0" w:color="auto"/>
        <w:right w:val="none" w:sz="0" w:space="0" w:color="auto"/>
      </w:divBdr>
    </w:div>
    <w:div w:id="1750958063">
      <w:bodyDiv w:val="1"/>
      <w:marLeft w:val="0"/>
      <w:marRight w:val="0"/>
      <w:marTop w:val="0"/>
      <w:marBottom w:val="0"/>
      <w:divBdr>
        <w:top w:val="none" w:sz="0" w:space="0" w:color="auto"/>
        <w:left w:val="none" w:sz="0" w:space="0" w:color="auto"/>
        <w:bottom w:val="none" w:sz="0" w:space="0" w:color="auto"/>
        <w:right w:val="none" w:sz="0" w:space="0" w:color="auto"/>
      </w:divBdr>
    </w:div>
    <w:div w:id="1752192965">
      <w:bodyDiv w:val="1"/>
      <w:marLeft w:val="0"/>
      <w:marRight w:val="0"/>
      <w:marTop w:val="0"/>
      <w:marBottom w:val="0"/>
      <w:divBdr>
        <w:top w:val="none" w:sz="0" w:space="0" w:color="auto"/>
        <w:left w:val="none" w:sz="0" w:space="0" w:color="auto"/>
        <w:bottom w:val="none" w:sz="0" w:space="0" w:color="auto"/>
        <w:right w:val="none" w:sz="0" w:space="0" w:color="auto"/>
      </w:divBdr>
    </w:div>
    <w:div w:id="1754277280">
      <w:bodyDiv w:val="1"/>
      <w:marLeft w:val="0"/>
      <w:marRight w:val="0"/>
      <w:marTop w:val="0"/>
      <w:marBottom w:val="0"/>
      <w:divBdr>
        <w:top w:val="none" w:sz="0" w:space="0" w:color="auto"/>
        <w:left w:val="none" w:sz="0" w:space="0" w:color="auto"/>
        <w:bottom w:val="none" w:sz="0" w:space="0" w:color="auto"/>
        <w:right w:val="none" w:sz="0" w:space="0" w:color="auto"/>
      </w:divBdr>
    </w:div>
    <w:div w:id="1778451234">
      <w:bodyDiv w:val="1"/>
      <w:marLeft w:val="0"/>
      <w:marRight w:val="0"/>
      <w:marTop w:val="0"/>
      <w:marBottom w:val="0"/>
      <w:divBdr>
        <w:top w:val="none" w:sz="0" w:space="0" w:color="auto"/>
        <w:left w:val="none" w:sz="0" w:space="0" w:color="auto"/>
        <w:bottom w:val="none" w:sz="0" w:space="0" w:color="auto"/>
        <w:right w:val="none" w:sz="0" w:space="0" w:color="auto"/>
      </w:divBdr>
    </w:div>
    <w:div w:id="1803694027">
      <w:bodyDiv w:val="1"/>
      <w:marLeft w:val="0"/>
      <w:marRight w:val="0"/>
      <w:marTop w:val="0"/>
      <w:marBottom w:val="0"/>
      <w:divBdr>
        <w:top w:val="none" w:sz="0" w:space="0" w:color="auto"/>
        <w:left w:val="none" w:sz="0" w:space="0" w:color="auto"/>
        <w:bottom w:val="none" w:sz="0" w:space="0" w:color="auto"/>
        <w:right w:val="none" w:sz="0" w:space="0" w:color="auto"/>
      </w:divBdr>
    </w:div>
    <w:div w:id="1897207226">
      <w:bodyDiv w:val="1"/>
      <w:marLeft w:val="0"/>
      <w:marRight w:val="0"/>
      <w:marTop w:val="0"/>
      <w:marBottom w:val="0"/>
      <w:divBdr>
        <w:top w:val="none" w:sz="0" w:space="0" w:color="auto"/>
        <w:left w:val="none" w:sz="0" w:space="0" w:color="auto"/>
        <w:bottom w:val="none" w:sz="0" w:space="0" w:color="auto"/>
        <w:right w:val="none" w:sz="0" w:space="0" w:color="auto"/>
      </w:divBdr>
    </w:div>
    <w:div w:id="1962685968">
      <w:bodyDiv w:val="1"/>
      <w:marLeft w:val="0"/>
      <w:marRight w:val="0"/>
      <w:marTop w:val="0"/>
      <w:marBottom w:val="0"/>
      <w:divBdr>
        <w:top w:val="none" w:sz="0" w:space="0" w:color="auto"/>
        <w:left w:val="none" w:sz="0" w:space="0" w:color="auto"/>
        <w:bottom w:val="none" w:sz="0" w:space="0" w:color="auto"/>
        <w:right w:val="none" w:sz="0" w:space="0" w:color="auto"/>
      </w:divBdr>
    </w:div>
    <w:div w:id="1999918787">
      <w:bodyDiv w:val="1"/>
      <w:marLeft w:val="0"/>
      <w:marRight w:val="0"/>
      <w:marTop w:val="0"/>
      <w:marBottom w:val="0"/>
      <w:divBdr>
        <w:top w:val="none" w:sz="0" w:space="0" w:color="auto"/>
        <w:left w:val="none" w:sz="0" w:space="0" w:color="auto"/>
        <w:bottom w:val="none" w:sz="0" w:space="0" w:color="auto"/>
        <w:right w:val="none" w:sz="0" w:space="0" w:color="auto"/>
      </w:divBdr>
    </w:div>
    <w:div w:id="2015645522">
      <w:bodyDiv w:val="1"/>
      <w:marLeft w:val="0"/>
      <w:marRight w:val="0"/>
      <w:marTop w:val="0"/>
      <w:marBottom w:val="0"/>
      <w:divBdr>
        <w:top w:val="none" w:sz="0" w:space="0" w:color="auto"/>
        <w:left w:val="none" w:sz="0" w:space="0" w:color="auto"/>
        <w:bottom w:val="none" w:sz="0" w:space="0" w:color="auto"/>
        <w:right w:val="none" w:sz="0" w:space="0" w:color="auto"/>
      </w:divBdr>
    </w:div>
    <w:div w:id="2033409325">
      <w:bodyDiv w:val="1"/>
      <w:marLeft w:val="0"/>
      <w:marRight w:val="0"/>
      <w:marTop w:val="0"/>
      <w:marBottom w:val="0"/>
      <w:divBdr>
        <w:top w:val="none" w:sz="0" w:space="0" w:color="auto"/>
        <w:left w:val="none" w:sz="0" w:space="0" w:color="auto"/>
        <w:bottom w:val="none" w:sz="0" w:space="0" w:color="auto"/>
        <w:right w:val="none" w:sz="0" w:space="0" w:color="auto"/>
      </w:divBdr>
    </w:div>
    <w:div w:id="2040163286">
      <w:bodyDiv w:val="1"/>
      <w:marLeft w:val="0"/>
      <w:marRight w:val="0"/>
      <w:marTop w:val="0"/>
      <w:marBottom w:val="0"/>
      <w:divBdr>
        <w:top w:val="none" w:sz="0" w:space="0" w:color="auto"/>
        <w:left w:val="none" w:sz="0" w:space="0" w:color="auto"/>
        <w:bottom w:val="none" w:sz="0" w:space="0" w:color="auto"/>
        <w:right w:val="none" w:sz="0" w:space="0" w:color="auto"/>
      </w:divBdr>
    </w:div>
    <w:div w:id="2068334696">
      <w:bodyDiv w:val="1"/>
      <w:marLeft w:val="0"/>
      <w:marRight w:val="0"/>
      <w:marTop w:val="0"/>
      <w:marBottom w:val="0"/>
      <w:divBdr>
        <w:top w:val="none" w:sz="0" w:space="0" w:color="auto"/>
        <w:left w:val="none" w:sz="0" w:space="0" w:color="auto"/>
        <w:bottom w:val="none" w:sz="0" w:space="0" w:color="auto"/>
        <w:right w:val="none" w:sz="0" w:space="0" w:color="auto"/>
      </w:divBdr>
    </w:div>
    <w:div w:id="2136017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5.jpeg"/><Relationship Id="rId26" Type="http://schemas.openxmlformats.org/officeDocument/2006/relationships/hyperlink" Target="https://doi.org/10.31603/tarbiyatuna.v12i2.4996" TargetMode="External"/><Relationship Id="rId39" Type="http://schemas.openxmlformats.org/officeDocument/2006/relationships/hyperlink" Target="https://doi.org/10.62951/jpm.v1i4.921" TargetMode="External"/><Relationship Id="rId21" Type="http://schemas.openxmlformats.org/officeDocument/2006/relationships/hyperlink" Target="https://doi.org/10.26555/almisbah.v9i2.3908" TargetMode="External"/><Relationship Id="rId34" Type="http://schemas.openxmlformats.org/officeDocument/2006/relationships/hyperlink" Target="https://doi.org/10.24252/jis.v7i1.15035" TargetMode="External"/><Relationship Id="rId42" Type="http://schemas.openxmlformats.org/officeDocument/2006/relationships/hyperlink" Target="https://doi.org/10.31004/jptam.v6i2.3895" TargetMode="External"/><Relationship Id="rId47" Type="http://schemas.openxmlformats.org/officeDocument/2006/relationships/hyperlink" Target="https://doi.org/https:/pub.ruangrosadi.com/jurnal-ilmiah/index.php/jedar/article/view/22" TargetMode="External"/><Relationship Id="rId50" Type="http://schemas.openxmlformats.org/officeDocument/2006/relationships/hyperlink" Target="https://doi.org/10.14421/jpai.v21i2.8238" TargetMode="External"/><Relationship Id="rId55" Type="http://schemas.openxmlformats.org/officeDocument/2006/relationships/hyperlink" Target="https://doi.org/10.24036/ijmurhica.v4i1.152" TargetMode="External"/><Relationship Id="rId63" Type="http://schemas.openxmlformats.org/officeDocument/2006/relationships/hyperlink" Target="https://doi.org/10.46870/jiat.v4i1.178.3" TargetMode="External"/><Relationship Id="rId68" Type="http://schemas.openxmlformats.org/officeDocument/2006/relationships/header" Target="header1.xml"/><Relationship Id="rId7" Type="http://schemas.openxmlformats.org/officeDocument/2006/relationships/webSettings" Target="webSettings.xml"/><Relationship Id="rId71"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hyperlink" Target="https://doi.org/10.61104/ihsan.v2i2.117" TargetMode="External"/><Relationship Id="rId11" Type="http://schemas.openxmlformats.org/officeDocument/2006/relationships/hyperlink" Target="mailto:zainaphartati@iain-palangkaraya.ac.id@mail.com" TargetMode="External"/><Relationship Id="rId24" Type="http://schemas.openxmlformats.org/officeDocument/2006/relationships/hyperlink" Target="https://doi.org/10.59837/jpmba.v2i8.1527" TargetMode="External"/><Relationship Id="rId32" Type="http://schemas.openxmlformats.org/officeDocument/2006/relationships/hyperlink" Target="https://doi.org/10.35719/jier.v5i3.450" TargetMode="External"/><Relationship Id="rId37" Type="http://schemas.openxmlformats.org/officeDocument/2006/relationships/hyperlink" Target="https://doi.org/10.37680/qalamuna.v14i2.3764" TargetMode="External"/><Relationship Id="rId40" Type="http://schemas.openxmlformats.org/officeDocument/2006/relationships/hyperlink" Target="https://doi.org/10.58485/jie.v2i1.188" TargetMode="External"/><Relationship Id="rId45" Type="http://schemas.openxmlformats.org/officeDocument/2006/relationships/hyperlink" Target="https://gembirapkm.my.id/index.php/jurnal/article/view/678" TargetMode="External"/><Relationship Id="rId53" Type="http://schemas.openxmlformats.org/officeDocument/2006/relationships/hyperlink" Target="https://doi.org/10.26555/jecce.v5i1.5974" TargetMode="External"/><Relationship Id="rId58" Type="http://schemas.openxmlformats.org/officeDocument/2006/relationships/hyperlink" Target="https://doi.org/10.37680/scaffolding.v6i3.6411" TargetMode="External"/><Relationship Id="rId66" Type="http://schemas.openxmlformats.org/officeDocument/2006/relationships/hyperlink" Target="https://doi.org/https:/doi.org/10.53802/fitrah.v6i1.1135" TargetMode="External"/><Relationship Id="rId7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2.jpeg"/><Relationship Id="rId23" Type="http://schemas.openxmlformats.org/officeDocument/2006/relationships/hyperlink" Target="https://doi.org/http:/dx.doi.org/10.17977/um025v9i12024p60" TargetMode="External"/><Relationship Id="rId28" Type="http://schemas.openxmlformats.org/officeDocument/2006/relationships/hyperlink" Target="https://doi.org/https:/ejurnals.com/ojs/index.php/jdpn/article/view/1397/1637" TargetMode="External"/><Relationship Id="rId36" Type="http://schemas.openxmlformats.org/officeDocument/2006/relationships/hyperlink" Target="https://doi.org/10.33511/misykat.v1n1.181" TargetMode="External"/><Relationship Id="rId49" Type="http://schemas.openxmlformats.org/officeDocument/2006/relationships/hyperlink" Target="https://doi.org/https:/inlislite.uin-suska.ac.id/opac/detail-opac?id=12221" TargetMode="External"/><Relationship Id="rId57" Type="http://schemas.openxmlformats.org/officeDocument/2006/relationships/hyperlink" Target="https://doi.org/10.33650/afkarina.v9i1.9357" TargetMode="External"/><Relationship Id="rId61" Type="http://schemas.openxmlformats.org/officeDocument/2006/relationships/hyperlink" Target="https://doi.org/10.61136/pmm29y60" TargetMode="External"/><Relationship Id="rId10" Type="http://schemas.openxmlformats.org/officeDocument/2006/relationships/hyperlink" Target="mailto:muhammadrizqi2211110069@iain-palangkaraya.ac.id" TargetMode="External"/><Relationship Id="rId19" Type="http://schemas.openxmlformats.org/officeDocument/2006/relationships/image" Target="media/image6.jpeg"/><Relationship Id="rId31" Type="http://schemas.openxmlformats.org/officeDocument/2006/relationships/hyperlink" Target="https://doi.org/10.24252/al-daulah." TargetMode="External"/><Relationship Id="rId44" Type="http://schemas.openxmlformats.org/officeDocument/2006/relationships/hyperlink" Target="https://doi.org/10.21070/ijis.v12i2.1718" TargetMode="External"/><Relationship Id="rId52" Type="http://schemas.openxmlformats.org/officeDocument/2006/relationships/hyperlink" Target="https://doi.org/10.22373/jm.v13i2.22103" TargetMode="External"/><Relationship Id="rId60" Type="http://schemas.openxmlformats.org/officeDocument/2006/relationships/hyperlink" Target="https://journal.universitaspahlawan.ac.id/index.php/jrpp/article/download/43586/27371/145690" TargetMode="External"/><Relationship Id="rId65" Type="http://schemas.openxmlformats.org/officeDocument/2006/relationships/hyperlink" Target="http://journal.ipts.ac.id/index.php/" TargetMode="External"/><Relationship Id="rId73" Type="http://schemas.openxmlformats.org/officeDocument/2006/relationships/footer" Target="foot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creativecommons.org/licenses/by-sa/4.0/" TargetMode="External"/><Relationship Id="rId22" Type="http://schemas.openxmlformats.org/officeDocument/2006/relationships/hyperlink" Target="https://doi.org/10.56338/iqra.v20i1.6868" TargetMode="External"/><Relationship Id="rId27" Type="http://schemas.openxmlformats.org/officeDocument/2006/relationships/hyperlink" Target="https://doi.org/https:/bitarajournal.com/index.php/bitarajournal/article/view/415" TargetMode="External"/><Relationship Id="rId30" Type="http://schemas.openxmlformats.org/officeDocument/2006/relationships/hyperlink" Target="https://doi.org/https:/joqer.intischolar.id/index.php/joqer/article/view/4" TargetMode="External"/><Relationship Id="rId35" Type="http://schemas.openxmlformats.org/officeDocument/2006/relationships/hyperlink" Target="http://digilib.iain-palangkaraya.ac.id/1669/1/PROCEEDINGS%20ICIIES%20-Book%20TWO.pdf" TargetMode="External"/><Relationship Id="rId43" Type="http://schemas.openxmlformats.org/officeDocument/2006/relationships/hyperlink" Target="https://doi.org/10.58540/jipsi.v1i1.12" TargetMode="External"/><Relationship Id="rId48" Type="http://schemas.openxmlformats.org/officeDocument/2006/relationships/hyperlink" Target="https://doi.org/https:/vivauniversity.wordpress.com/wp-content/uploads/2013/11/milesandhuberman1994.pdf" TargetMode="External"/><Relationship Id="rId56" Type="http://schemas.openxmlformats.org/officeDocument/2006/relationships/hyperlink" Target="https://doi.org/10.55227/ijhess.v3i2.612" TargetMode="External"/><Relationship Id="rId64" Type="http://schemas.openxmlformats.org/officeDocument/2006/relationships/hyperlink" Target="https://doi.org/https:/doi.org/10.53802/fitrah.v15i2.921" TargetMode="External"/><Relationship Id="rId69" Type="http://schemas.openxmlformats.org/officeDocument/2006/relationships/header" Target="header2.xml"/><Relationship Id="rId8" Type="http://schemas.openxmlformats.org/officeDocument/2006/relationships/footnotes" Target="footnotes.xml"/><Relationship Id="rId51" Type="http://schemas.openxmlformats.org/officeDocument/2006/relationships/hyperlink" Target="https://doi.org/10.31949/am.v5i2.7535" TargetMode="External"/><Relationship Id="rId72" Type="http://schemas.openxmlformats.org/officeDocument/2006/relationships/header" Target="header3.xml"/><Relationship Id="rId3" Type="http://schemas.openxmlformats.org/officeDocument/2006/relationships/numbering" Target="numbering.xml"/><Relationship Id="rId12" Type="http://schemas.openxmlformats.org/officeDocument/2006/relationships/hyperlink" Target="mailto:abdullah@iain-palangkaraya.ac.idhirdauthor@mail.com" TargetMode="External"/><Relationship Id="rId17" Type="http://schemas.openxmlformats.org/officeDocument/2006/relationships/image" Target="media/image4.jpeg"/><Relationship Id="rId25" Type="http://schemas.openxmlformats.org/officeDocument/2006/relationships/hyperlink" Target="https://doi.org/10.35445/alishlah.v16i4.5763" TargetMode="External"/><Relationship Id="rId33" Type="http://schemas.openxmlformats.org/officeDocument/2006/relationships/hyperlink" Target="https://doi.org/http:/dx.doi.org/10.32806/jf.v14i2.611" TargetMode="External"/><Relationship Id="rId38" Type="http://schemas.openxmlformats.org/officeDocument/2006/relationships/hyperlink" Target="https://doi.org/10.59653/jmisc.v1i03.280" TargetMode="External"/><Relationship Id="rId46" Type="http://schemas.openxmlformats.org/officeDocument/2006/relationships/hyperlink" Target="https://doi.org/http:/digilib.iain-palangkaraya.ac.id/5571/1/Buku%20Pembelajaran%20Al-qur%E2%80%99an%20Hadits_Saiful%20Lutfi%2C%20dkk.pdf" TargetMode="External"/><Relationship Id="rId59" Type="http://schemas.openxmlformats.org/officeDocument/2006/relationships/hyperlink" Target="https://doi.org/10.51169/ideguru.v9i2.882" TargetMode="External"/><Relationship Id="rId67" Type="http://schemas.openxmlformats.org/officeDocument/2006/relationships/hyperlink" Target="https://doi.org/https:/doi.org/10.61132/ardhi.v2i5.777" TargetMode="External"/><Relationship Id="rId20" Type="http://schemas.openxmlformats.org/officeDocument/2006/relationships/hyperlink" Target="https://doi.org/10.35723/ajie.v5i1.161" TargetMode="External"/><Relationship Id="rId41" Type="http://schemas.openxmlformats.org/officeDocument/2006/relationships/hyperlink" Target="https://doi.org/10.31004/joe.v6i4.6413" TargetMode="External"/><Relationship Id="rId54" Type="http://schemas.openxmlformats.org/officeDocument/2006/relationships/hyperlink" Target="https://doi.org/10.37680/scaffolding.v6i3.7053" TargetMode="External"/><Relationship Id="rId62" Type="http://schemas.openxmlformats.org/officeDocument/2006/relationships/hyperlink" Target="https://doi.org/10.51278/aj.v6i3.1702" TargetMode="External"/><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hyperlink" Target="https://doi.org/10.32585/jurnalkomdik.v9i2.6797"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doi.org/10.32585/jurnalkomdik.v9i2.6797"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journal.univetbantara.ac.id/index.php/komdik" TargetMode="External"/><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QKDobhesO6k8ZSMlCDJ3PzyPuQ==">CgMxLjAyCGguZ2pkZ3hzOAByITFmVDVFbUlFOGNsSHdhQ3VBYnN6cEJwa19oYm1GZnE4Tw==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CB4527E-FB4C-4CDE-BF35-7E0C8A140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18135</Words>
  <Characters>103371</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Faeyza Computer</cp:lastModifiedBy>
  <cp:revision>3</cp:revision>
  <cp:lastPrinted>2026-01-05T01:58:00Z</cp:lastPrinted>
  <dcterms:created xsi:type="dcterms:W3CDTF">2026-01-05T01:58:00Z</dcterms:created>
  <dcterms:modified xsi:type="dcterms:W3CDTF">2026-01-05T01:59:00Z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9th edition (full note)</vt:lpwstr>
  </property>
  <property fmtid="{D5CDD505-2E9C-101B-9397-08002B2CF9AE}" pid="22" name="Mendeley Document_1">
    <vt:lpwstr>True</vt:lpwstr>
  </property>
  <property fmtid="{D5CDD505-2E9C-101B-9397-08002B2CF9AE}" pid="23" name="Mendeley Unique User Id_1">
    <vt:lpwstr>1b06e087-6a26-33c7-93c0-a5de1005c400</vt:lpwstr>
  </property>
  <property fmtid="{D5CDD505-2E9C-101B-9397-08002B2CF9AE}" pid="24" name="Mendeley Citation Style_1">
    <vt:lpwstr>http://www.zotero.org/styles/apa</vt:lpwstr>
  </property>
</Properties>
</file>