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762F6" w14:textId="3DCA7665" w:rsidR="00AF3AC9" w:rsidRDefault="00AF3AC9" w:rsidP="00AF3AC9">
      <w:pPr>
        <w:tabs>
          <w:tab w:val="left" w:pos="1985"/>
          <w:tab w:val="left" w:pos="2160"/>
        </w:tabs>
        <w:spacing w:after="0"/>
        <w:jc w:val="center"/>
        <w:rPr>
          <w:rFonts w:ascii="Rockwell" w:eastAsia="Times New Roman" w:hAnsi="Rockwell" w:cs="Arial"/>
          <w:b/>
          <w:noProof/>
          <w:sz w:val="20"/>
          <w:szCs w:val="20"/>
        </w:rPr>
      </w:pPr>
      <w:r>
        <w:rPr>
          <w:rFonts w:ascii="Rockwell" w:eastAsia="Times New Roman" w:hAnsi="Rockwell" w:cs="Arial"/>
          <w:b/>
          <w:noProof/>
          <w:sz w:val="20"/>
          <w:szCs w:val="20"/>
        </w:rPr>
        <w:t>PROHIBITION OF ETHIC MARRIAGE IN MINANGKABAU CULTURE AND ITS IMPLICATIONS ON CULTURAL COUNSELING</w:t>
      </w:r>
    </w:p>
    <w:p w14:paraId="1B2CDFA1" w14:textId="77777777" w:rsidR="00AF3AC9" w:rsidRDefault="00AF3AC9" w:rsidP="00AF3AC9">
      <w:pPr>
        <w:tabs>
          <w:tab w:val="left" w:pos="1985"/>
          <w:tab w:val="left" w:pos="2160"/>
        </w:tabs>
        <w:spacing w:after="0"/>
        <w:jc w:val="center"/>
        <w:rPr>
          <w:rFonts w:ascii="Rockwell" w:eastAsia="Times New Roman" w:hAnsi="Rockwell" w:cs="Arial"/>
          <w:b/>
          <w:noProof/>
          <w:sz w:val="20"/>
          <w:szCs w:val="20"/>
        </w:rPr>
      </w:pPr>
    </w:p>
    <w:p w14:paraId="20E7ABDE" w14:textId="02B09E65" w:rsidR="00F1723A" w:rsidRDefault="00AF3AC9" w:rsidP="00F17727">
      <w:pPr>
        <w:pStyle w:val="AuthorAffiliation"/>
        <w:rPr>
          <w:rFonts w:ascii="Arial Narrow" w:hAnsi="Arial Narrow"/>
          <w:sz w:val="22"/>
          <w:szCs w:val="22"/>
        </w:rPr>
      </w:pPr>
      <w:r>
        <w:rPr>
          <w:rFonts w:ascii="Arial Narrow" w:hAnsi="Arial Narrow"/>
          <w:sz w:val="22"/>
          <w:szCs w:val="22"/>
        </w:rPr>
        <w:t>Yustim</w:t>
      </w:r>
      <w:r w:rsidR="00F1723A" w:rsidRPr="00F1723A">
        <w:rPr>
          <w:rFonts w:ascii="Arial Narrow" w:hAnsi="Arial Narrow"/>
          <w:sz w:val="22"/>
          <w:szCs w:val="22"/>
        </w:rPr>
        <w:t xml:space="preserve"> </w:t>
      </w:r>
      <w:r w:rsidR="00F1723A" w:rsidRPr="00492600">
        <w:rPr>
          <w:rFonts w:ascii="Arial Narrow" w:hAnsi="Arial Narrow"/>
          <w:sz w:val="22"/>
          <w:szCs w:val="22"/>
          <w:vertAlign w:val="superscript"/>
        </w:rPr>
        <w:t>a,1,*</w:t>
      </w:r>
      <w:r w:rsidR="00F1723A" w:rsidRPr="00F1723A">
        <w:rPr>
          <w:rFonts w:ascii="Arial Narrow" w:hAnsi="Arial Narrow"/>
          <w:sz w:val="22"/>
          <w:szCs w:val="22"/>
        </w:rPr>
        <w:t xml:space="preserve">, </w:t>
      </w:r>
      <w:r>
        <w:rPr>
          <w:rFonts w:ascii="Arial Narrow" w:hAnsi="Arial Narrow"/>
          <w:sz w:val="22"/>
          <w:szCs w:val="22"/>
        </w:rPr>
        <w:t>Yuliana Nelisma</w:t>
      </w:r>
      <w:r w:rsidR="00F1723A" w:rsidRPr="00F1723A">
        <w:rPr>
          <w:rFonts w:ascii="Arial Narrow" w:hAnsi="Arial Narrow"/>
          <w:sz w:val="22"/>
          <w:szCs w:val="22"/>
        </w:rPr>
        <w:t xml:space="preserve"> </w:t>
      </w:r>
      <w:r w:rsidR="00F1723A" w:rsidRPr="00492600">
        <w:rPr>
          <w:rFonts w:ascii="Arial Narrow" w:hAnsi="Arial Narrow"/>
          <w:sz w:val="22"/>
          <w:szCs w:val="22"/>
          <w:vertAlign w:val="superscript"/>
        </w:rPr>
        <w:t>b,2</w:t>
      </w:r>
      <w:r w:rsidR="00F1723A" w:rsidRPr="00F1723A">
        <w:rPr>
          <w:rFonts w:ascii="Arial Narrow" w:hAnsi="Arial Narrow"/>
          <w:sz w:val="22"/>
          <w:szCs w:val="22"/>
        </w:rPr>
        <w:t xml:space="preserve">, </w:t>
      </w:r>
      <w:r>
        <w:rPr>
          <w:rFonts w:ascii="Arial Narrow" w:hAnsi="Arial Narrow"/>
          <w:sz w:val="22"/>
          <w:szCs w:val="22"/>
        </w:rPr>
        <w:t>Silvianetri</w:t>
      </w:r>
      <w:r w:rsidR="00F1723A" w:rsidRPr="00F1723A">
        <w:rPr>
          <w:rFonts w:ascii="Arial Narrow" w:hAnsi="Arial Narrow"/>
          <w:sz w:val="22"/>
          <w:szCs w:val="22"/>
        </w:rPr>
        <w:t xml:space="preserve"> </w:t>
      </w:r>
      <w:r w:rsidR="00F1723A" w:rsidRPr="00492600">
        <w:rPr>
          <w:rFonts w:ascii="Arial Narrow" w:hAnsi="Arial Narrow"/>
          <w:sz w:val="22"/>
          <w:szCs w:val="22"/>
          <w:vertAlign w:val="superscript"/>
        </w:rPr>
        <w:t xml:space="preserve">b,3 </w:t>
      </w:r>
    </w:p>
    <w:p w14:paraId="72B92CDA" w14:textId="77777777" w:rsidR="00F1723A" w:rsidRDefault="00F1723A" w:rsidP="00F17727">
      <w:pPr>
        <w:pStyle w:val="AuthorAffiliation"/>
        <w:rPr>
          <w:rFonts w:ascii="Arial Narrow" w:hAnsi="Arial Narrow"/>
          <w:sz w:val="22"/>
          <w:szCs w:val="22"/>
        </w:rPr>
      </w:pPr>
    </w:p>
    <w:p w14:paraId="44FA92CB" w14:textId="6E9EBF6C" w:rsidR="00B678BE" w:rsidRPr="00F17727" w:rsidRDefault="00B678BE" w:rsidP="00F17727">
      <w:pPr>
        <w:pStyle w:val="AuthorAffiliation"/>
        <w:rPr>
          <w:sz w:val="16"/>
          <w:szCs w:val="16"/>
        </w:rPr>
      </w:pPr>
      <w:r w:rsidRPr="00F17727">
        <w:rPr>
          <w:sz w:val="16"/>
          <w:szCs w:val="16"/>
          <w:vertAlign w:val="superscript"/>
        </w:rPr>
        <w:t>a</w:t>
      </w:r>
      <w:r w:rsidRPr="00F17727">
        <w:rPr>
          <w:sz w:val="16"/>
          <w:szCs w:val="16"/>
          <w:vertAlign w:val="superscript"/>
          <w:lang w:val="id-ID"/>
        </w:rPr>
        <w:t xml:space="preserve"> </w:t>
      </w:r>
      <w:r w:rsidR="00AF3AC9">
        <w:rPr>
          <w:szCs w:val="14"/>
        </w:rPr>
        <w:t>Guru TK Jelita Indah Payakumbuh</w:t>
      </w:r>
    </w:p>
    <w:p w14:paraId="5BDE494A" w14:textId="671F8408" w:rsidR="00B678BE" w:rsidRPr="00AF3AC9" w:rsidRDefault="00B678BE" w:rsidP="00F17727">
      <w:pPr>
        <w:pStyle w:val="AuthorAffiliation"/>
        <w:rPr>
          <w:sz w:val="16"/>
          <w:szCs w:val="16"/>
        </w:rPr>
      </w:pPr>
      <w:r w:rsidRPr="00F17727">
        <w:rPr>
          <w:sz w:val="16"/>
          <w:szCs w:val="16"/>
          <w:vertAlign w:val="superscript"/>
          <w:lang w:val="id-ID"/>
        </w:rPr>
        <w:t xml:space="preserve">b </w:t>
      </w:r>
      <w:r w:rsidR="00AF3AC9">
        <w:rPr>
          <w:szCs w:val="14"/>
        </w:rPr>
        <w:t>Guru Bimbingan dan Konseling Banda Aceh</w:t>
      </w:r>
    </w:p>
    <w:p w14:paraId="79AE8A06" w14:textId="3FA45796" w:rsidR="000E64B7" w:rsidRPr="00AF3AC9" w:rsidRDefault="000E64B7" w:rsidP="000E64B7">
      <w:pPr>
        <w:pStyle w:val="AuthorAffiliation"/>
        <w:rPr>
          <w:sz w:val="16"/>
          <w:szCs w:val="16"/>
        </w:rPr>
      </w:pPr>
      <w:r>
        <w:rPr>
          <w:sz w:val="16"/>
          <w:szCs w:val="16"/>
          <w:vertAlign w:val="superscript"/>
          <w:lang w:val="en-GB"/>
        </w:rPr>
        <w:t>c</w:t>
      </w:r>
      <w:r w:rsidRPr="00F17727">
        <w:rPr>
          <w:sz w:val="16"/>
          <w:szCs w:val="16"/>
          <w:vertAlign w:val="superscript"/>
          <w:lang w:val="id-ID"/>
        </w:rPr>
        <w:t xml:space="preserve"> </w:t>
      </w:r>
      <w:r w:rsidR="00AF3AC9">
        <w:rPr>
          <w:szCs w:val="14"/>
        </w:rPr>
        <w:t>IAIN Batusangkar</w:t>
      </w:r>
    </w:p>
    <w:p w14:paraId="37F208D5" w14:textId="2E4E9DF8" w:rsidR="00B678BE" w:rsidRPr="00B678BE" w:rsidRDefault="00FF54B9" w:rsidP="00F17727">
      <w:pPr>
        <w:pStyle w:val="AuthorAffiliation"/>
      </w:pPr>
      <w:r w:rsidRPr="00FF54B9">
        <w:rPr>
          <w:sz w:val="16"/>
          <w:szCs w:val="16"/>
          <w:vertAlign w:val="superscript"/>
          <w:lang w:val="id-ID"/>
        </w:rPr>
        <w:t>1</w:t>
      </w:r>
      <w:r w:rsidRPr="00FF54B9">
        <w:rPr>
          <w:sz w:val="16"/>
          <w:szCs w:val="16"/>
          <w:lang w:val="id-ID"/>
        </w:rPr>
        <w:t xml:space="preserve"> </w:t>
      </w:r>
      <w:r w:rsidR="00AF3AC9" w:rsidRPr="00AF3AC9">
        <w:rPr>
          <w:rStyle w:val="Hyperlink"/>
          <w:szCs w:val="14"/>
          <w:u w:val="none"/>
        </w:rPr>
        <w:t>yustimkhalilah@gmail.com</w:t>
      </w:r>
      <w:r w:rsidRPr="00C90CD0">
        <w:rPr>
          <w:rStyle w:val="Hyperlink"/>
          <w:szCs w:val="14"/>
          <w:u w:val="none"/>
        </w:rPr>
        <w:t xml:space="preserve">*; </w:t>
      </w:r>
      <w:r w:rsidRPr="00C90CD0">
        <w:rPr>
          <w:rStyle w:val="Hyperlink"/>
          <w:szCs w:val="14"/>
          <w:u w:val="none"/>
          <w:vertAlign w:val="superscript"/>
        </w:rPr>
        <w:t>2</w:t>
      </w:r>
      <w:r w:rsidRPr="00C90CD0">
        <w:rPr>
          <w:rStyle w:val="Hyperlink"/>
          <w:szCs w:val="14"/>
          <w:u w:val="none"/>
        </w:rPr>
        <w:t xml:space="preserve"> </w:t>
      </w:r>
      <w:r w:rsidR="00AF3AC9">
        <w:rPr>
          <w:rStyle w:val="Hyperlink"/>
          <w:szCs w:val="14"/>
          <w:u w:val="none"/>
        </w:rPr>
        <w:t>nelismayuliana@gmail.com</w:t>
      </w:r>
      <w:r w:rsidRPr="00C90CD0">
        <w:rPr>
          <w:rStyle w:val="Hyperlink"/>
          <w:szCs w:val="14"/>
          <w:u w:val="none"/>
        </w:rPr>
        <w:t xml:space="preserve">; </w:t>
      </w:r>
      <w:r w:rsidRPr="00C90CD0">
        <w:rPr>
          <w:rStyle w:val="Hyperlink"/>
          <w:szCs w:val="14"/>
          <w:u w:val="none"/>
          <w:vertAlign w:val="superscript"/>
        </w:rPr>
        <w:t>3</w:t>
      </w:r>
      <w:r w:rsidRPr="00C90CD0">
        <w:rPr>
          <w:rStyle w:val="Hyperlink"/>
          <w:szCs w:val="14"/>
          <w:u w:val="none"/>
        </w:rPr>
        <w:t xml:space="preserve"> </w:t>
      </w:r>
      <w:r w:rsidR="00AF3AC9">
        <w:rPr>
          <w:rStyle w:val="Hyperlink"/>
          <w:szCs w:val="14"/>
          <w:u w:val="none"/>
        </w:rPr>
        <w:t>silvianetri.71@gmail.com</w:t>
      </w:r>
      <w:r w:rsidRPr="00FF54B9">
        <w:rPr>
          <w:sz w:val="16"/>
          <w:szCs w:val="16"/>
        </w:rPr>
        <w:t xml:space="preserve"> </w:t>
      </w:r>
    </w:p>
    <w:p w14:paraId="5B49A892" w14:textId="77777777" w:rsidR="00B678BE" w:rsidRPr="00962C1B" w:rsidRDefault="0005797C" w:rsidP="00FD1055">
      <w:pPr>
        <w:pStyle w:val="AuthorAffiliation"/>
        <w:spacing w:after="240"/>
        <w:rPr>
          <w:sz w:val="16"/>
          <w:szCs w:val="16"/>
        </w:rPr>
      </w:pPr>
      <w:r w:rsidRPr="003419D9">
        <w:rPr>
          <w:lang w:eastAsia="zh-CN"/>
        </w:rPr>
        <w:drawing>
          <wp:anchor distT="0" distB="0" distL="114300" distR="114300" simplePos="0" relativeHeight="251661824" behindDoc="0" locked="0" layoutInCell="1" allowOverlap="1" wp14:anchorId="706CA43D" wp14:editId="12E5B811">
            <wp:simplePos x="0" y="0"/>
            <wp:positionH relativeFrom="column">
              <wp:posOffset>51548</wp:posOffset>
            </wp:positionH>
            <wp:positionV relativeFrom="paragraph">
              <wp:posOffset>244914</wp:posOffset>
            </wp:positionV>
            <wp:extent cx="317975" cy="289711"/>
            <wp:effectExtent l="19050" t="19050" r="25400" b="15240"/>
            <wp:wrapNone/>
            <wp:docPr id="30" name="Picture 3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crossmark-text.png"/>
                    <pic:cNvPicPr/>
                  </pic:nvPicPr>
                  <pic:blipFill rotWithShape="1">
                    <a:blip r:embed="rId9" cstate="print">
                      <a:extLst>
                        <a:ext uri="{28A0092B-C50C-407E-A947-70E740481C1C}">
                          <a14:useLocalDpi xmlns:a14="http://schemas.microsoft.com/office/drawing/2010/main" val="0"/>
                        </a:ext>
                      </a:extLst>
                    </a:blip>
                    <a:srcRect l="22304" t="5341" r="20153" b="42186"/>
                    <a:stretch/>
                  </pic:blipFill>
                  <pic:spPr bwMode="auto">
                    <a:xfrm>
                      <a:off x="0" y="0"/>
                      <a:ext cx="320970" cy="292440"/>
                    </a:xfrm>
                    <a:prstGeom prst="rect">
                      <a:avLst/>
                    </a:prstGeom>
                    <a:ln w="9525" cap="flat" cmpd="sng" algn="ctr">
                      <a:solidFill>
                        <a:sysClr val="window" lastClr="FFFFFF">
                          <a:lumMod val="85000"/>
                        </a:sysClr>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78BE" w:rsidRPr="00B678BE">
        <w:rPr>
          <w:lang w:val="id-ID"/>
        </w:rPr>
        <w:t xml:space="preserve">* </w:t>
      </w:r>
      <w:r w:rsidR="00B678BE" w:rsidRPr="00C90CD0">
        <w:rPr>
          <w:szCs w:val="14"/>
        </w:rPr>
        <w:t>Corresponding Author</w:t>
      </w:r>
    </w:p>
    <w:p w14:paraId="33D4D709" w14:textId="77777777" w:rsidR="009F754C" w:rsidRPr="004B4C0D" w:rsidRDefault="005E5D12" w:rsidP="0005797C">
      <w:pPr>
        <w:pStyle w:val="History"/>
        <w:spacing w:before="100" w:beforeAutospacing="1" w:after="240"/>
        <w:ind w:firstLine="720"/>
      </w:pPr>
      <w:r w:rsidRPr="005E5D12">
        <w:t xml:space="preserve">Received </w:t>
      </w:r>
      <w:r w:rsidR="00F67688">
        <w:t>……………………</w:t>
      </w:r>
      <w:r w:rsidRPr="005E5D12">
        <w:t xml:space="preserve">; accepted </w:t>
      </w:r>
      <w:r w:rsidR="00F67688">
        <w:t>……………………</w:t>
      </w:r>
      <w:r w:rsidRPr="005E5D12">
        <w:t xml:space="preserve">; published </w:t>
      </w:r>
      <w:r w:rsidR="00F67688">
        <w:t>…………………..</w:t>
      </w:r>
    </w:p>
    <w:tbl>
      <w:tblPr>
        <w:tblW w:w="8755" w:type="dxa"/>
        <w:tblLook w:val="04A0" w:firstRow="1" w:lastRow="0" w:firstColumn="1" w:lastColumn="0" w:noHBand="0" w:noVBand="1"/>
      </w:tblPr>
      <w:tblGrid>
        <w:gridCol w:w="6804"/>
        <w:gridCol w:w="284"/>
        <w:gridCol w:w="1667"/>
      </w:tblGrid>
      <w:tr w:rsidR="00D55AC4" w:rsidRPr="00D55AC4" w14:paraId="41D3E923" w14:textId="77777777" w:rsidTr="00E52BFD">
        <w:tc>
          <w:tcPr>
            <w:tcW w:w="6804" w:type="dxa"/>
            <w:tcBorders>
              <w:top w:val="single" w:sz="4" w:space="0" w:color="5B9BD5" w:themeColor="accent1"/>
              <w:left w:val="single" w:sz="4" w:space="0" w:color="5B9BD5" w:themeColor="accent1"/>
              <w:right w:val="single" w:sz="4" w:space="0" w:color="5B9BD5" w:themeColor="accent1"/>
            </w:tcBorders>
            <w:shd w:val="clear" w:color="auto" w:fill="EEEEEE"/>
          </w:tcPr>
          <w:p w14:paraId="074A40A0" w14:textId="77777777" w:rsidR="00A9119C" w:rsidRPr="007C202B" w:rsidRDefault="009F754C" w:rsidP="00E52BFD">
            <w:pPr>
              <w:pStyle w:val="AbstractHead"/>
              <w:spacing w:before="120"/>
              <w:rPr>
                <w:rFonts w:eastAsia="MS Mincho"/>
                <w:lang w:val="en-GB"/>
              </w:rPr>
            </w:pPr>
            <w:r w:rsidRPr="007C202B">
              <w:rPr>
                <w:rFonts w:eastAsia="MS Mincho"/>
                <w:lang w:val="en-GB"/>
              </w:rPr>
              <w:t>ABSTRACT</w:t>
            </w:r>
          </w:p>
          <w:p w14:paraId="469DF11F" w14:textId="77777777" w:rsidR="007C202B" w:rsidRPr="00D55AC4" w:rsidRDefault="007C202B" w:rsidP="00D55AC4">
            <w:pPr>
              <w:pStyle w:val="AbstractHead"/>
              <w:rPr>
                <w:rFonts w:eastAsia="MS Mincho"/>
                <w:sz w:val="18"/>
                <w:szCs w:val="18"/>
                <w:lang w:val="en-GB"/>
              </w:rPr>
            </w:pPr>
          </w:p>
        </w:tc>
        <w:tc>
          <w:tcPr>
            <w:tcW w:w="284" w:type="dxa"/>
            <w:tcBorders>
              <w:left w:val="single" w:sz="4" w:space="0" w:color="5B9BD5" w:themeColor="accent1"/>
            </w:tcBorders>
            <w:shd w:val="clear" w:color="auto" w:fill="auto"/>
          </w:tcPr>
          <w:p w14:paraId="3438188A" w14:textId="77777777" w:rsidR="009F754C" w:rsidRPr="00D55AC4" w:rsidRDefault="009F754C" w:rsidP="00D55AC4">
            <w:pPr>
              <w:widowControl w:val="0"/>
              <w:autoSpaceDE w:val="0"/>
              <w:autoSpaceDN w:val="0"/>
              <w:adjustRightInd w:val="0"/>
              <w:spacing w:after="0" w:line="240" w:lineRule="auto"/>
              <w:jc w:val="both"/>
              <w:rPr>
                <w:rFonts w:ascii="Times New Roman" w:hAnsi="Times New Roman"/>
                <w:sz w:val="18"/>
                <w:szCs w:val="18"/>
                <w:lang w:val="en"/>
              </w:rPr>
            </w:pPr>
          </w:p>
        </w:tc>
        <w:tc>
          <w:tcPr>
            <w:tcW w:w="1667" w:type="dxa"/>
            <w:shd w:val="clear" w:color="auto" w:fill="auto"/>
          </w:tcPr>
          <w:p w14:paraId="67123DA6" w14:textId="77777777" w:rsidR="009F754C" w:rsidRPr="00006196" w:rsidRDefault="009F754C" w:rsidP="00D55AC4">
            <w:pPr>
              <w:pStyle w:val="Keyword"/>
              <w:rPr>
                <w:rFonts w:eastAsia="MS Mincho"/>
                <w:sz w:val="18"/>
                <w:szCs w:val="18"/>
              </w:rPr>
            </w:pPr>
            <w:r w:rsidRPr="00006196">
              <w:rPr>
                <w:sz w:val="18"/>
                <w:szCs w:val="18"/>
              </w:rPr>
              <w:t>KEYWORDS</w:t>
            </w:r>
          </w:p>
        </w:tc>
      </w:tr>
      <w:tr w:rsidR="00D55AC4" w:rsidRPr="00D55AC4" w14:paraId="675EDAB4" w14:textId="77777777" w:rsidTr="00E52BFD">
        <w:tc>
          <w:tcPr>
            <w:tcW w:w="6804" w:type="dxa"/>
            <w:tcBorders>
              <w:left w:val="single" w:sz="4" w:space="0" w:color="5B9BD5" w:themeColor="accent1"/>
              <w:bottom w:val="single" w:sz="4" w:space="0" w:color="5B9BD5" w:themeColor="accent1"/>
              <w:right w:val="single" w:sz="4" w:space="0" w:color="5B9BD5" w:themeColor="accent1"/>
            </w:tcBorders>
            <w:shd w:val="clear" w:color="auto" w:fill="EEEEEE"/>
          </w:tcPr>
          <w:p w14:paraId="2D3D23BC" w14:textId="77777777" w:rsidR="00AF3AC9" w:rsidRDefault="00AF3AC9" w:rsidP="00AF3AC9">
            <w:pPr>
              <w:tabs>
                <w:tab w:val="left" w:pos="0"/>
                <w:tab w:val="left" w:pos="567"/>
                <w:tab w:val="left" w:pos="851"/>
              </w:tabs>
              <w:spacing w:after="0"/>
              <w:jc w:val="both"/>
              <w:rPr>
                <w:rFonts w:ascii="Gill Sans MT" w:hAnsi="Gill Sans MT" w:cs="Arial"/>
                <w:i/>
                <w:sz w:val="18"/>
                <w:szCs w:val="18"/>
              </w:rPr>
            </w:pPr>
            <w:r>
              <w:rPr>
                <w:rFonts w:ascii="Gill Sans MT" w:hAnsi="Gill Sans MT" w:cs="Arial"/>
                <w:i/>
                <w:sz w:val="18"/>
                <w:szCs w:val="18"/>
              </w:rPr>
              <w:t>In Minangkabau culture, marriage of one tribe is a prohibited marriage. The perpetrators will be given a fairly heavy customary sanction, namely being ostracized from their extended family, community and expelled as long as they are customary. The lineage of both husband, wife and children may not use tribal names. Likewise with other customary rights. This type of research is descriptive analytical. Data collection techniques in this study using library techniques. Sources of data in this study are books, scientific journals, documents, magazines, laws and regulations and relevant research results which are accessed through libraries and through open journal search systems via the internet.</w:t>
            </w:r>
          </w:p>
          <w:p w14:paraId="241DA39F" w14:textId="77777777" w:rsidR="00F17727" w:rsidRPr="003D1790" w:rsidRDefault="00F17727" w:rsidP="00180844">
            <w:pPr>
              <w:pStyle w:val="AbstractText"/>
              <w:rPr>
                <w:rStyle w:val="IntenseEmphasis"/>
                <w:iCs/>
                <w:lang w:val="id-ID"/>
              </w:rPr>
            </w:pPr>
          </w:p>
          <w:p w14:paraId="201AD04C" w14:textId="77777777" w:rsidR="009F754C" w:rsidRPr="00D55AC4" w:rsidRDefault="009F754C" w:rsidP="003D1790">
            <w:pPr>
              <w:pStyle w:val="Copyright0"/>
              <w:framePr w:hSpace="0" w:wrap="auto" w:vAnchor="margin" w:yAlign="inline"/>
              <w:spacing w:line="240" w:lineRule="auto"/>
              <w:ind w:right="149"/>
              <w:suppressOverlap w:val="0"/>
              <w:jc w:val="both"/>
              <w:rPr>
                <w:rFonts w:eastAsia="MS Mincho"/>
                <w:sz w:val="18"/>
                <w:szCs w:val="18"/>
              </w:rPr>
            </w:pPr>
          </w:p>
        </w:tc>
        <w:tc>
          <w:tcPr>
            <w:tcW w:w="284" w:type="dxa"/>
            <w:tcBorders>
              <w:left w:val="single" w:sz="4" w:space="0" w:color="5B9BD5" w:themeColor="accent1"/>
            </w:tcBorders>
            <w:shd w:val="clear" w:color="auto" w:fill="auto"/>
          </w:tcPr>
          <w:p w14:paraId="3FB5BCAA" w14:textId="77777777" w:rsidR="009F754C" w:rsidRPr="00D55AC4" w:rsidRDefault="009F754C" w:rsidP="00D55AC4">
            <w:pPr>
              <w:widowControl w:val="0"/>
              <w:autoSpaceDE w:val="0"/>
              <w:autoSpaceDN w:val="0"/>
              <w:adjustRightInd w:val="0"/>
              <w:spacing w:after="0" w:line="240" w:lineRule="auto"/>
              <w:jc w:val="both"/>
              <w:rPr>
                <w:rFonts w:ascii="Times New Roman" w:eastAsia="MS Mincho" w:hAnsi="Times New Roman"/>
                <w:sz w:val="18"/>
                <w:szCs w:val="18"/>
                <w:lang w:val="en"/>
              </w:rPr>
            </w:pPr>
          </w:p>
        </w:tc>
        <w:tc>
          <w:tcPr>
            <w:tcW w:w="1667" w:type="dxa"/>
            <w:shd w:val="clear" w:color="auto" w:fill="auto"/>
          </w:tcPr>
          <w:p w14:paraId="3A13A36B" w14:textId="0DB75BB6" w:rsidR="009F754C" w:rsidRPr="00006196" w:rsidRDefault="00AF3AC9" w:rsidP="00D55AC4">
            <w:pPr>
              <w:pStyle w:val="Keyword"/>
              <w:rPr>
                <w:rFonts w:eastAsia="MS Mincho"/>
                <w:sz w:val="16"/>
                <w:szCs w:val="16"/>
                <w:lang w:val="en"/>
              </w:rPr>
            </w:pPr>
            <w:r>
              <w:rPr>
                <w:rFonts w:ascii="Gill Sans MT" w:hAnsi="Gill Sans MT" w:cs="Arial"/>
                <w:i/>
                <w:sz w:val="18"/>
                <w:szCs w:val="18"/>
              </w:rPr>
              <w:t>Ethnic Marriage</w:t>
            </w:r>
            <w:r w:rsidR="009F754C" w:rsidRPr="00006196">
              <w:rPr>
                <w:rFonts w:eastAsia="MS Mincho"/>
                <w:sz w:val="16"/>
                <w:szCs w:val="16"/>
                <w:lang w:val="en"/>
              </w:rPr>
              <w:t>_1</w:t>
            </w:r>
          </w:p>
          <w:p w14:paraId="1E711BA9" w14:textId="6B083BD4" w:rsidR="009F754C" w:rsidRPr="00006196" w:rsidRDefault="00AF3AC9" w:rsidP="00D55AC4">
            <w:pPr>
              <w:pStyle w:val="Keyword"/>
              <w:rPr>
                <w:rFonts w:eastAsia="MS Mincho"/>
                <w:sz w:val="16"/>
                <w:szCs w:val="16"/>
                <w:lang w:val="en"/>
              </w:rPr>
            </w:pPr>
            <w:r>
              <w:rPr>
                <w:rFonts w:ascii="Gill Sans MT" w:hAnsi="Gill Sans MT" w:cs="Arial"/>
                <w:i/>
                <w:sz w:val="18"/>
                <w:szCs w:val="18"/>
              </w:rPr>
              <w:t>Minangkabau Culture</w:t>
            </w:r>
            <w:r w:rsidR="009F754C" w:rsidRPr="00006196">
              <w:rPr>
                <w:rFonts w:eastAsia="MS Mincho"/>
                <w:sz w:val="16"/>
                <w:szCs w:val="16"/>
                <w:lang w:val="en"/>
              </w:rPr>
              <w:t>_2</w:t>
            </w:r>
          </w:p>
          <w:p w14:paraId="743EE96C" w14:textId="67FAD7DE" w:rsidR="009F754C" w:rsidRPr="00006196" w:rsidRDefault="00AF3AC9" w:rsidP="00D55AC4">
            <w:pPr>
              <w:pStyle w:val="Keyword"/>
              <w:rPr>
                <w:rFonts w:eastAsia="MS Mincho"/>
                <w:sz w:val="16"/>
                <w:szCs w:val="16"/>
                <w:lang w:val="en"/>
              </w:rPr>
            </w:pPr>
            <w:r>
              <w:rPr>
                <w:rFonts w:ascii="Gill Sans MT" w:hAnsi="Gill Sans MT" w:cs="Arial"/>
                <w:i/>
                <w:sz w:val="18"/>
                <w:szCs w:val="18"/>
              </w:rPr>
              <w:t>Cultural Counseling</w:t>
            </w:r>
            <w:r w:rsidR="009F754C" w:rsidRPr="00006196">
              <w:rPr>
                <w:rFonts w:eastAsia="MS Mincho"/>
                <w:sz w:val="16"/>
                <w:szCs w:val="16"/>
                <w:lang w:val="en"/>
              </w:rPr>
              <w:t>_3</w:t>
            </w:r>
          </w:p>
          <w:p w14:paraId="593B1180" w14:textId="37533C9C" w:rsidR="00EC31EF" w:rsidRPr="00006196" w:rsidRDefault="00EC31EF" w:rsidP="00D55AC4">
            <w:pPr>
              <w:pStyle w:val="Keyword"/>
              <w:rPr>
                <w:rFonts w:eastAsia="MS Mincho"/>
                <w:sz w:val="16"/>
                <w:szCs w:val="16"/>
                <w:lang w:val="en"/>
              </w:rPr>
            </w:pPr>
          </w:p>
          <w:p w14:paraId="4A1B45BF" w14:textId="77777777" w:rsidR="00EC31EF" w:rsidRPr="00006196" w:rsidRDefault="00EC31EF" w:rsidP="00D55AC4">
            <w:pPr>
              <w:pStyle w:val="Keyword"/>
              <w:rPr>
                <w:rFonts w:eastAsia="MS Mincho"/>
                <w:sz w:val="16"/>
                <w:szCs w:val="16"/>
                <w:lang w:val="en"/>
              </w:rPr>
            </w:pPr>
          </w:p>
          <w:p w14:paraId="134F9FF5" w14:textId="77777777" w:rsidR="00EC31EF" w:rsidRPr="00006196" w:rsidRDefault="00EC31EF" w:rsidP="00EC31EF">
            <w:pPr>
              <w:pStyle w:val="Copyright0"/>
              <w:framePr w:hSpace="0" w:wrap="auto" w:vAnchor="margin" w:yAlign="inline"/>
              <w:spacing w:line="240" w:lineRule="auto"/>
              <w:ind w:right="149"/>
              <w:suppressOverlap w:val="0"/>
              <w:jc w:val="left"/>
              <w:rPr>
                <w:rFonts w:cs="Arial"/>
              </w:rPr>
            </w:pPr>
            <w:r w:rsidRPr="00006196">
              <w:rPr>
                <w:sz w:val="16"/>
                <w:szCs w:val="16"/>
              </w:rPr>
              <w:t>This is an open</w:t>
            </w:r>
            <w:r w:rsidR="00F47C91" w:rsidRPr="00006196">
              <w:rPr>
                <w:sz w:val="16"/>
                <w:szCs w:val="16"/>
              </w:rPr>
              <w:t>-</w:t>
            </w:r>
            <w:r w:rsidRPr="00006196">
              <w:rPr>
                <w:sz w:val="16"/>
                <w:szCs w:val="16"/>
              </w:rPr>
              <w:t xml:space="preserve">access article under the </w:t>
            </w:r>
            <w:hyperlink r:id="rId10" w:history="1">
              <w:r w:rsidRPr="00006196">
                <w:rPr>
                  <w:rStyle w:val="Hyperlink"/>
                  <w:sz w:val="16"/>
                  <w:szCs w:val="16"/>
                  <w:u w:val="none"/>
                </w:rPr>
                <w:t>CC–BY-SA</w:t>
              </w:r>
            </w:hyperlink>
            <w:r w:rsidRPr="00006196">
              <w:rPr>
                <w:sz w:val="16"/>
                <w:szCs w:val="16"/>
              </w:rPr>
              <w:t xml:space="preserve"> license</w:t>
            </w:r>
          </w:p>
          <w:p w14:paraId="70B83F3C" w14:textId="77777777" w:rsidR="00EC31EF" w:rsidRPr="00006196" w:rsidRDefault="00C0600A" w:rsidP="00D55AC4">
            <w:pPr>
              <w:pStyle w:val="Keyword"/>
              <w:rPr>
                <w:rFonts w:eastAsia="MS Mincho"/>
                <w:lang w:val="en"/>
              </w:rPr>
            </w:pPr>
            <w:r w:rsidRPr="00006196">
              <w:rPr>
                <w:noProof/>
                <w:lang w:eastAsia="zh-CN"/>
              </w:rPr>
              <w:drawing>
                <wp:anchor distT="0" distB="0" distL="114300" distR="114300" simplePos="0" relativeHeight="251659776" behindDoc="0" locked="0" layoutInCell="1" allowOverlap="0" wp14:anchorId="11D31A0D" wp14:editId="6A9B2F33">
                  <wp:simplePos x="0" y="0"/>
                  <wp:positionH relativeFrom="column">
                    <wp:posOffset>-4445</wp:posOffset>
                  </wp:positionH>
                  <wp:positionV relativeFrom="paragraph">
                    <wp:posOffset>36195</wp:posOffset>
                  </wp:positionV>
                  <wp:extent cx="840105" cy="297180"/>
                  <wp:effectExtent l="0" t="0" r="0" b="0"/>
                  <wp:wrapTopAndBottom/>
                  <wp:docPr id="4" name="Picture 6" descr="https://licensebuttons.net/l/by-sa/3.0/88x31.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0" tgtFrame="_blank"/>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CF9199C" w14:textId="59957C64" w:rsidR="00537B9A" w:rsidRPr="00802875" w:rsidRDefault="00537B9A" w:rsidP="00B678BE">
      <w:pPr>
        <w:pStyle w:val="Heading1"/>
        <w:rPr>
          <w:b w:val="0"/>
          <w:i/>
          <w:sz w:val="22"/>
          <w:szCs w:val="22"/>
        </w:rPr>
      </w:pPr>
      <w:r w:rsidRPr="00802875">
        <w:rPr>
          <w:sz w:val="22"/>
          <w:szCs w:val="22"/>
        </w:rPr>
        <w:t xml:space="preserve">Introduction </w:t>
      </w:r>
    </w:p>
    <w:p w14:paraId="0E5272E2" w14:textId="51234891" w:rsidR="00AF3AC9" w:rsidRPr="00AF3AC9" w:rsidRDefault="00AF3AC9" w:rsidP="00AF3AC9">
      <w:pPr>
        <w:spacing w:after="0" w:line="240" w:lineRule="auto"/>
        <w:ind w:firstLine="360"/>
        <w:jc w:val="both"/>
        <w:rPr>
          <w:rFonts w:ascii="Garamond" w:hAnsi="Garamond"/>
        </w:rPr>
      </w:pPr>
      <w:r w:rsidRPr="00AF3AC9">
        <w:rPr>
          <w:rFonts w:ascii="Garamond" w:hAnsi="Garamond"/>
        </w:rPr>
        <w:t xml:space="preserve">Manusia adalah makhluk sosial yang tidak bisa hidup atas usahanya sendiri dan manusia sejak lahir sudah ditakdirkan mempunyai pasangan hidup salah satu cara agar pasangan itu saling terkait satu sama lain yaitu melalui proses perkawinan </w:t>
      </w:r>
      <w:r w:rsidRPr="00AF3AC9">
        <w:rPr>
          <w:rFonts w:ascii="Garamond" w:hAnsi="Garamond"/>
        </w:rPr>
        <w:fldChar w:fldCharType="begin" w:fldLock="1"/>
      </w:r>
      <w:r w:rsidR="00D64370">
        <w:rPr>
          <w:rFonts w:ascii="Garamond" w:hAnsi="Garamond"/>
        </w:rPr>
        <w:instrText>ADDIN CSL_CITATION {"citationItems":[{"id":"ITEM-1","itemData":{"DOI":"10.31933/unesrev.v2i2.67","ISSN":"2654-3605","abstract":"Sebagai sarana perlindungan, dijadikan sebagai kedok untuk memperoleh keuntungan atau demi kepentingan sepihak dan memandang tidak lagi sebagai subjek yang harus dilindungi kepentingannya menjadi sebuah objek diam yang lemah. Untuk itulah diperlukan penanganan yang serius agar masalah ini tidak dijadikan kesempatan bagi pihak-pihak yang mencari keuntungan sendiri, maka dalam hal pembagian harta bersama akibat kematian sangat menarik untuk dikaji. Dari latar belakang diatas maka penulis tertarik mengangkat masalah  penyelesaian sengketa harta bersama akibat putusnya perkawinan karena kematian. Adapun ruang lingkup atau rumusan masalah yang dimaksud adalah sebagai berikut, Pertama, Bagaimana penyelesaian sengketa harta bersama akibat putusnya perkawinan karena kematian, Kedua, Upaya penyelesaian sengketa harta bersama akibat putusnya perkawinan karena kematian. Dari rumusan masalah ini maka metode penulisan ini adalah Yaitu dengan jalan membaca bahan-bahan tulisan ilmiah, buku-buku literatur, Peraturan-peraturan Perundang-undangan dan berbagai konsep lainnya yang dipandang dapat menambah kejelasan permasalahan dan arah pembahasan yang ada relevan dalam Penulisan. Dan Comperastive Study yaitu dengan cara membaca dan membanding-bandingkan berbagai teori yang ada untuk mendapatkan kesimpulan yang dapat dijadikan bahan dalam penyusunan ini. Dalam penulisan ini teknik analisa data yang digunakan adalah analisa data secara kuantitatif, yaitu memberikan pembahasan atau suatu penjelasan tentang bahan Penulisan yang datanya mengarah pada kajian yang bersifat teoritis mengenai konsep-konsep dan berbagai bahan hukum lainnya, yaitu dimana pernyataan khusus dikaitkan dengan pernyataan umum yang diperoleh dilapangan. Jadi janganlah kita mengucilkan janda. Janda juga ingin didengar dan diayomi bukan menjadi bahan pergunjingan, apalagi jika janda itu, menyembuhkan psikis sangatlah berat bagi seorang janda. Mencoba menutup telinga demi dan menguatkan dari gunjingan orang lain. Janda itu tidak selamanya jelek, tidak selamanya mengganggu hubungan orang, tidak selamanya dia hina. Janda bisa berkarya, bisa menciptakan lapangan pekerjaan dan bisa menjaga perilakunya. Jadi terima kami, hargai kami karena kami juga bisa menjadi orang yang bermanfaat dan membanggakan untuk kalian.","author":[{"dropping-particle":"","family":"Effendi","given":"Devi Rianti","non-dropping-particle":"","parse-names":false,"suffix":""}],"container-title":"UNES Law Review","id":"ITEM-1","issued":{"date-parts":[["2020"]]},"title":"ANALISIS PENYELESAIAN SENGKETA HARTA BERSAMA AKIBAT PUTUSAN PERKAWAINAN KARENA KEMATIAN","type":"article-journal"},"uris":["http://www.mendeley.com/documents/?uuid=f69bb5b7-fdfe-417a-b1bd-b5755c5af585","http://www.mendeley.com/documents/?uuid=9b30cd4a-e83c-446d-a1ec-aab11cac6758"]}],"mendeley":{"formattedCitation":"(Effendi 2020)","plainTextFormattedCitation":"(Effendi 2020)","previouslyFormattedCitation":"(Effendi, 2020)"},"properties":{"noteIndex":0},"schema":"https://github.com/citation-style-language/schema/raw/master/csl-citation.json"}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(Effendi 2020)</w:t>
      </w:r>
      <w:r w:rsidRPr="00AF3AC9">
        <w:rPr>
          <w:rFonts w:ascii="Garamond" w:hAnsi="Garamond"/>
        </w:rPr>
        <w:fldChar w:fldCharType="end"/>
      </w:r>
      <w:r w:rsidRPr="00AF3AC9">
        <w:rPr>
          <w:rFonts w:ascii="Garamond" w:hAnsi="Garamond"/>
        </w:rPr>
        <w:t>. Wirjono Prodjodikoro, mengatakan perkawinan adalah hidup bersama dari seorang laki-laki dan seorang perempuan yang memenuhi syarat-syarat tertentu. Salah satu tujuan dari</w:t>
      </w:r>
      <w:r w:rsidRPr="00AF3AC9">
        <w:rPr>
          <w:rFonts w:ascii="Garamond" w:hAnsi="Garamond"/>
          <w:spacing w:val="1"/>
        </w:rPr>
        <w:t xml:space="preserve"> </w:t>
      </w:r>
      <w:r w:rsidRPr="00AF3AC9">
        <w:rPr>
          <w:rFonts w:ascii="Garamond" w:hAnsi="Garamond"/>
        </w:rPr>
        <w:t>perkawinan</w:t>
      </w:r>
      <w:r w:rsidRPr="00AF3AC9">
        <w:rPr>
          <w:rFonts w:ascii="Garamond" w:hAnsi="Garamond"/>
          <w:spacing w:val="1"/>
        </w:rPr>
        <w:t xml:space="preserve"> </w:t>
      </w:r>
      <w:r w:rsidRPr="00AF3AC9">
        <w:rPr>
          <w:rFonts w:ascii="Garamond" w:hAnsi="Garamond"/>
        </w:rPr>
        <w:t>adalah</w:t>
      </w:r>
      <w:r w:rsidRPr="00AF3AC9">
        <w:rPr>
          <w:rFonts w:ascii="Garamond" w:hAnsi="Garamond"/>
          <w:spacing w:val="1"/>
        </w:rPr>
        <w:t xml:space="preserve"> </w:t>
      </w:r>
      <w:r w:rsidRPr="00AF3AC9">
        <w:rPr>
          <w:rFonts w:ascii="Garamond" w:hAnsi="Garamond"/>
        </w:rPr>
        <w:t>untuk</w:t>
      </w:r>
      <w:r w:rsidRPr="00AF3AC9">
        <w:rPr>
          <w:rFonts w:ascii="Garamond" w:hAnsi="Garamond"/>
          <w:spacing w:val="1"/>
        </w:rPr>
        <w:t xml:space="preserve"> </w:t>
      </w:r>
      <w:r w:rsidRPr="00AF3AC9">
        <w:rPr>
          <w:rFonts w:ascii="Garamond" w:hAnsi="Garamond"/>
        </w:rPr>
        <w:t>mendapatkan</w:t>
      </w:r>
      <w:r w:rsidRPr="00AF3AC9">
        <w:rPr>
          <w:rFonts w:ascii="Garamond" w:hAnsi="Garamond"/>
          <w:spacing w:val="1"/>
        </w:rPr>
        <w:t xml:space="preserve"> </w:t>
      </w:r>
      <w:r w:rsidRPr="00AF3AC9">
        <w:rPr>
          <w:rFonts w:ascii="Garamond" w:hAnsi="Garamond"/>
        </w:rPr>
        <w:t>dan</w:t>
      </w:r>
      <w:r w:rsidRPr="00AF3AC9">
        <w:rPr>
          <w:rFonts w:ascii="Garamond" w:hAnsi="Garamond"/>
          <w:spacing w:val="1"/>
        </w:rPr>
        <w:t xml:space="preserve"> </w:t>
      </w:r>
      <w:r w:rsidRPr="00AF3AC9">
        <w:rPr>
          <w:rFonts w:ascii="Garamond" w:hAnsi="Garamond"/>
        </w:rPr>
        <w:t>melangsungkan</w:t>
      </w:r>
      <w:r w:rsidRPr="00AF3AC9">
        <w:rPr>
          <w:rFonts w:ascii="Garamond" w:hAnsi="Garamond"/>
          <w:spacing w:val="1"/>
        </w:rPr>
        <w:t xml:space="preserve"> </w:t>
      </w:r>
      <w:r w:rsidRPr="00AF3AC9">
        <w:rPr>
          <w:rFonts w:ascii="Garamond" w:hAnsi="Garamond"/>
        </w:rPr>
        <w:t>keturunan. Memahami manusia secara universal mengandung pengertian bahwa</w:t>
      </w:r>
      <w:r w:rsidRPr="00AF3AC9">
        <w:rPr>
          <w:rFonts w:ascii="Garamond" w:hAnsi="Garamond"/>
          <w:lang w:val="id-ID"/>
        </w:rPr>
        <w:t xml:space="preserve"> </w:t>
      </w:r>
      <w:r w:rsidRPr="00AF3AC9">
        <w:rPr>
          <w:rFonts w:ascii="Garamond" w:hAnsi="Garamond"/>
        </w:rPr>
        <w:t>nilai</w:t>
      </w:r>
      <w:r w:rsidRPr="00AF3AC9">
        <w:rPr>
          <w:rFonts w:ascii="Garamond" w:hAnsi="Garamond"/>
          <w:lang w:val="id-ID"/>
        </w:rPr>
        <w:t>-</w:t>
      </w:r>
      <w:r w:rsidRPr="00AF3AC9">
        <w:rPr>
          <w:rFonts w:ascii="Garamond" w:hAnsi="Garamond"/>
        </w:rPr>
        <w:t>nilai yang berlaku di masyarakat ada yang berlaku secara universal atau</w:t>
      </w:r>
      <w:r w:rsidRPr="00AF3AC9">
        <w:rPr>
          <w:rFonts w:ascii="Garamond" w:hAnsi="Garamond"/>
          <w:lang w:val="id-ID"/>
        </w:rPr>
        <w:t xml:space="preserve"> </w:t>
      </w:r>
      <w:r w:rsidRPr="00AF3AC9">
        <w:rPr>
          <w:rFonts w:ascii="Garamond" w:hAnsi="Garamond"/>
        </w:rPr>
        <w:t>berlaku dimana saja kita berada. Nilai-nilai ini diterima oleh semua masyarakat</w:t>
      </w:r>
      <w:r w:rsidRPr="00AF3AC9">
        <w:rPr>
          <w:rFonts w:ascii="Garamond" w:hAnsi="Garamond"/>
          <w:lang w:val="id-ID"/>
        </w:rPr>
        <w:t xml:space="preserve"> </w:t>
      </w:r>
      <w:r w:rsidRPr="00AF3AC9">
        <w:rPr>
          <w:rFonts w:ascii="Garamond" w:hAnsi="Garamond"/>
        </w:rPr>
        <w:t>di dunia ini. Salah satu nilai yang sangat umum adalah penghargaan terhadap</w:t>
      </w:r>
      <w:r w:rsidRPr="00AF3AC9">
        <w:rPr>
          <w:rFonts w:ascii="Garamond" w:hAnsi="Garamond"/>
          <w:lang w:val="id-ID"/>
        </w:rPr>
        <w:t xml:space="preserve"> </w:t>
      </w:r>
      <w:r w:rsidRPr="00AF3AC9">
        <w:rPr>
          <w:rFonts w:ascii="Garamond" w:hAnsi="Garamond"/>
        </w:rPr>
        <w:t>hidup. Manusia sangat menghargai hidup dan merdeka, nilai-nilai ini mutlak</w:t>
      </w:r>
      <w:r w:rsidRPr="00AF3AC9">
        <w:rPr>
          <w:rFonts w:ascii="Garamond" w:hAnsi="Garamond"/>
          <w:lang w:val="id-ID"/>
        </w:rPr>
        <w:t xml:space="preserve"> </w:t>
      </w:r>
      <w:r w:rsidRPr="00AF3AC9">
        <w:rPr>
          <w:rFonts w:ascii="Garamond" w:hAnsi="Garamond"/>
        </w:rPr>
        <w:t xml:space="preserve">dimiliki oleh semua orang. </w:t>
      </w:r>
    </w:p>
    <w:p w14:paraId="0C0DFCC8" w14:textId="6F1D21C5" w:rsidR="00AF3AC9" w:rsidRPr="00AF3AC9" w:rsidRDefault="00AF3AC9" w:rsidP="00AF3AC9">
      <w:pPr>
        <w:spacing w:after="0" w:line="240" w:lineRule="auto"/>
        <w:ind w:firstLine="360"/>
        <w:jc w:val="both"/>
        <w:rPr>
          <w:rFonts w:ascii="Garamond" w:hAnsi="Garamond"/>
        </w:rPr>
      </w:pPr>
      <w:r w:rsidRPr="00AF3AC9">
        <w:rPr>
          <w:rFonts w:ascii="Garamond" w:hAnsi="Garamond"/>
        </w:rPr>
        <w:t xml:space="preserve">Perkawinan akan menyatukan dua keluarga yang berbeda, bukan hanya menyatukan antara pasangan suami istri saja. Dalam peraturan adat di Minangkabau pasangan yang akan menikah adalah pasangan yang berbeda suku (eksogami) bukan satu suku (endogami) </w:t>
      </w:r>
      <w:r w:rsidRPr="00AF3AC9">
        <w:rPr>
          <w:rFonts w:ascii="Garamond" w:hAnsi="Garamond"/>
        </w:rPr>
        <w:fldChar w:fldCharType="begin" w:fldLock="1"/>
      </w:r>
      <w:r w:rsidR="00D64370">
        <w:rPr>
          <w:rFonts w:ascii="Garamond" w:hAnsi="Garamond"/>
        </w:rPr>
        <w:instrText>ADDIN CSL_CITATION {"citationItems":[{"id":"ITEM-1","itemData":{"abstract":"Karya tulis ini membahas kedudukan suami istri terhadap harta benda perkawinan dalam hal putusnya perkawainan karena perceraian ditinjau dari perspektif Undang-undang Perkawinan dan hukum adat Bali. Putusnya perkawinan akibat perceraian menimbulkan konflik antara suami istri dalam pembagian harta benda perkawinan. Dengan demikian timbul pertanyaan, bagaimanakah kedudukan suami istri terhadap harta benda perkawinan tersebut?. Metode yang digunakan adalah metode penelitian hukum normatif, dengan pendekatan perundang-undangan dan konseptual. Harta benda perkawinan meliputi tiga golongan, yaitu harta bersama, harta bawaan masing-masing suami istri, dan harta yang diperoleh masing-masing suami-isteri sebagai hadiah atau warisan. Apabila terjadi perceraian suami-isteri berhak menguasai harta bawaan masing-masing dan harta yang mereka peroleh sebagai hadiah atau warisan. Sedangkan hak suami-isteri dalam pembagian harta bersama akan mendapatkan bagian sama rata.","author":[{"dropping-particle":"","family":"Diah Puspayanthi  I Ketut","given":"Luh Putu; Sudantra","non-dropping-particle":"","parse-names":false,"suffix":""}],"container-title":"Kertha Desa","id":"ITEM-1","issued":{"date-parts":[["2017"]]},"title":"KEDUDUKAN SUAMI ISTRI TERHADAP HARTA BENDA PERKAWINAN DALAM HAL TERJADI PERCERAIAN: PERSPEKTIF UNDANG-UNDANG PERKAWINAN DAN HUKUM ADAT BALI","type":"article-journal"},"uris":["http://www.mendeley.com/documents/?uuid=411aafe2-12dd-443a-9879-838fdbcba0cd","http://www.mendeley.com/documents/?uuid=c667ca2d-81d0-4678-84bc-4638a26eecf7"]}],"mendeley":{"formattedCitation":"(Diah Puspayanthi  I Ketut 2017)","plainTextFormattedCitation":"(Diah Puspayanthi  I Ketut 2017)","previouslyFormattedCitation":"(Diah Puspayanthi  I Ketut, 2017)"},"properties":{"noteIndex":0},"schema":"https://github.com/citation-style-language/schema/raw/master/csl-citation.json"}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(Diah Puspayanthi  I Ketut 2017)</w:t>
      </w:r>
      <w:r w:rsidRPr="00AF3AC9">
        <w:rPr>
          <w:rFonts w:ascii="Garamond" w:hAnsi="Garamond"/>
        </w:rPr>
        <w:fldChar w:fldCharType="end"/>
      </w:r>
      <w:r w:rsidRPr="00AF3AC9">
        <w:rPr>
          <w:rFonts w:ascii="Garamond" w:hAnsi="Garamond"/>
        </w:rPr>
        <w:t xml:space="preserve">. Dalam menjalankan takdir kehidupan, manusia harus bisa melakukan penerimaan atas dirinya karena penerimaan diri akan membuat manusia dapat menerima kekurangan dan kelebihan serta membuat seseorang manusia itu memperoleh kebahagiaan. Penerimaan diri itu ada yang bersifat pribadi maupun penerimaan dibidang sosial bermasyarakat seperti larangan perawinan sesuku di Minangkabau. Penerimaan diri adalah suatu usaha seseorang dalam menerima kenyataan diri baik secara apa adanya maupun menerima pengalaman hidup, sejarah hidup, latar belakang hidup dan lingkungan pergaulan </w:t>
      </w:r>
      <w:r w:rsidRPr="00AF3AC9">
        <w:rPr>
          <w:rFonts w:ascii="Garamond" w:hAnsi="Garamond"/>
        </w:rPr>
        <w:fldChar w:fldCharType="begin" w:fldLock="1"/>
      </w:r>
      <w:r w:rsidR="00D64370">
        <w:rPr>
          <w:rFonts w:ascii="Garamond" w:hAnsi="Garamond"/>
        </w:rPr>
        <w:instrText>ADDIN CSL_CITATION {"citationItems":[{"id":"ITEM-1","itemData":{"DOI":"10.15294/ulj.v3i1.3630","ISSN":"2252-6536","abstract":"Perkawinan sejatinya untuk membentuk keluarga yang bahagia dunia akhirat berdasarkan ketuhanan, namun seringkali ada pihak – pihak yang menjadikan perkawinan yang luhur ini sebagai kontrak biasa.Kawin kontrak tersebut dilakukan dalam waktu beberapa tahun,dan ketika pelaksanaan kawin kontrak tersebut berlangsung lahir seorang anak. Penelitian ini bertujuan untuk mengetahui tinjauan yuridis Undang-Undang Nomor 1 Tahun 1974 tentang Perkawinan dan Hukum Islam mengenai kawin kontrak dan bagaimana Akibat hukumnya terhadap anak dan istri. Penelitian ini menggunakan metode yuridis normatif, dimana dalam penelitian ini menggunkan pendekatan perundang-undangan dan pendekatan konsep. Metode pengumpulan data menggunakan studi kepustakaan sehingga dalam analisis data nantinya akan lebih konkret dalam menjawab masalah yang ada. Hasil dari penelitian serta simpulan penelitian ini menunjukkan bahwa Undang–Undang Nomor 1 tahun 1974 tentang Perkawainan tidak mengatur mengenai kawin kontrak yang ada, serta Hukum Islam baik KHI atau sabda Rasul juga melarang yang kawin kontrak meskipun golongan syi’ah menyatakan bahwa kawin kontrak diperbolehkan. Akibat hukum yang diperoleh adalah : a) bagi istri mengenai status perkawinan yaitu perkawinan tersebut tidak diakui oleh negara karena negara tidak mengatur kawin kontrak, istri hanya memperoleh status sosial dan ekonomi. Mengenai harta bersama karena kawin kontrak tidak diakui maka mengenai harta bersama Pasal 35 Undang – Undang Perkawinan juga tidak bisa dituntut.b) bagi anak dengan berdasar Pasal 42, 43 Ayat 1 mengenai kedudukan anak, anak hanya mempunyai hubungan perdata dengan ibunya saja, anak tidak mempunyai hubungan saling mewarisi dengan bapaknya,karena anak kawin kontrak dianggap anak luar kawin yang tidak diakui. Kemudian mengenai harta dan wali, anak kawin kontrak juga tidak bisa menuntut apa – apa dari bapaknya","container-title":"Unnes of Law Journal - Jurnal Hukum Universitas Semarang","id":"ITEM-1","issued":{"date-parts":[["2014"]]},"title":"TINJAUAN YURIDIS MENGENAI KAWIN KONTRAK SERTA AKIBAT HUKUMNYA TERHADAP ISTRI DAN ANAKNYA","type":"article-journal"},"uris":["http://www.mendeley.com/documents/?uuid=0a1517b6-ad9c-4cdc-9953-d65e15727cf3","http://www.mendeley.com/documents/?uuid=b9d8c0cc-9418-4fde-aab6-c47b7f892554"]}],"mendeley":{"formattedCitation":"(“TINJAUAN YURIDIS MENGENAI KAWIN KONTRAK SERTA AKIBAT HUKUMNYA TERHADAP ISTRI DAN ANAKNYA” 2014)","plainTextFormattedCitation":"(“TINJAUAN YURIDIS MENGENAI KAWIN KONTRAK SERTA AKIBAT HUKUMNYA TERHADAP ISTRI DAN ANAKNYA” 2014)","previouslyFormattedCitation":"(“TINJAUAN YURIDIS MENGENAI KAWIN KONTRAK SERTA AKIBAT HUKUMNYA TERHADAP ISTRI DAN ANAKNYA,” 2014)"},"properties":{"noteIndex":0},"schema":"https://github.com/citation-style-language/schema/raw/master/csl-citation.json"}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(“TINJAUAN YURIDIS MENGENAI KAWIN KONTRAK SERTA AKIBAT HUKUMNYA TERHADAP ISTRI DAN ANAKNYA” 2014)</w:t>
      </w:r>
      <w:r w:rsidRPr="00AF3AC9">
        <w:rPr>
          <w:rFonts w:ascii="Garamond" w:hAnsi="Garamond"/>
        </w:rPr>
        <w:fldChar w:fldCharType="end"/>
      </w:r>
      <w:r w:rsidRPr="00AF3AC9">
        <w:rPr>
          <w:rFonts w:ascii="Garamond" w:hAnsi="Garamond"/>
        </w:rPr>
        <w:t>.</w:t>
      </w:r>
    </w:p>
    <w:p w14:paraId="0FA72C5F" w14:textId="1124ACF5" w:rsidR="00AF3AC9" w:rsidRPr="00AF3AC9" w:rsidRDefault="00AF3AC9" w:rsidP="00AF3AC9">
      <w:pPr>
        <w:spacing w:after="0" w:line="240" w:lineRule="auto"/>
        <w:ind w:firstLine="360"/>
        <w:jc w:val="both"/>
        <w:rPr>
          <w:rFonts w:ascii="Garamond" w:hAnsi="Garamond"/>
        </w:rPr>
      </w:pPr>
      <w:r w:rsidRPr="00AF3AC9">
        <w:rPr>
          <w:rFonts w:ascii="Garamond" w:hAnsi="Garamond"/>
        </w:rPr>
        <w:t xml:space="preserve">Menurut Hukum Islam terdapat ketentuan-ketentuan bahwa orang tidak boleh mengikat tali perkawinan dan pertalian yang disebut muhrim, disebabkan pertalian darah, pertalian perkawinan dan pertalian sepersusuan. Begitu jelas Islam menjelaskan tentang hakekat dan arti penting perkawinan, bahkan dalam beberapa undang-undang masalah perkawinan diatur secara khusus </w:t>
      </w:r>
      <w:r w:rsidRPr="00AF3AC9">
        <w:rPr>
          <w:rFonts w:ascii="Garamond" w:hAnsi="Garamond"/>
        </w:rPr>
        <w:fldChar w:fldCharType="begin" w:fldLock="1"/>
      </w:r>
      <w:r w:rsidR="00D64370">
        <w:rPr>
          <w:rFonts w:ascii="Garamond" w:hAnsi="Garamond"/>
        </w:rPr>
        <w:instrText>ADDIN CSL_CITATION {"citationItems":[{"id":"ITEM-1","itemData":{"DOI":"10.29303/juridiksiam.v6i1.89","ISSN":"2355-4622","abstract":"Dalam rangka untuk melestarikan pancasila dalam generasi perkenal dan perluasan pancasila harus dirangkaikan dengan adat dan budaya yang melekat pada masyrakat tersebut, salah satu cara untuk mempertahankan nilai pancasila dengan memandang kegitan ritual adat harus menggunakan prespektif pancasila dalam upaya pelestarian budaya dan pancasila.Atas dasar kondisi tersebut penulis tertarik melakukan penelitian skripsi dengan judul” Aspek Pendidikan Nilai Pancasila Dalam Perkawianan Adat Mbojo di Dompu  ( Studi Di Desa Soro Kecematan Kempo Kab.Dompu)” dengan  tujuan penelitian ini adalah untuk mengetahui aspek pendidikan nilai pancasila dalam pelaksanaan tradisi perkawinan adat Mbojo, memperoleh nilai nilai pendidikan pancasila dalam tradisi perkawainan adat Mbozo(Studi di Desa soro Kecamatan Kempo Kabupaten Dompu). Metode penelitian yang digunakan dalam penelitian ini adalah penelitain kualitatif, dengan teknik pengumpulan data mengunakan teknik observasi, wawancara, studi dokumentasi. Teknik analisis data yang digunakan adalah teknik reduksi data, penyajian data, penarikan kesimpulan.Adapun hasil dari penelitian ini yaitu bentuk bentuk dari tradisi perkawinan adat Dompu, anatara lain: Dou Sodi (pinangan), Ngge Nduru (tinggal Bersama di rumah mertua), penati (melamar), wi,i Ngahi atau simpan tanya, mbolo weki, wa,a coi atau antar mahar, kapanca (pacar), akad nikah dan Resepsi atau jambuta. Nilai nilai pancasila yang terkandung dalam perkawinan adat Mbojo Dompu antara lain sebagai berikut: gotong royong, selalu hidup berdampingan saling menghargai dan menghormati, suka menolong dan menghargai budaya leluhur. Dari setiap sesi dan prosesi rangkaian kegiatan perkawianan adat masyarakat desa Soro mengadung semua unsur nilai nilai pancasila yang terdiri dari nilai ketuhanan, kemanusiaan yang adil dan beradap, persatuan indonesia, permusyawatan perwakilan yang di pimpin oleh hikmat kebijaksanan serta keadilan bagi seluruh rakyat indonesia","author":[{"dropping-particle":"","family":"Indrawati","given":"Suci","non-dropping-particle":"","parse-names":false,"suffix":""},{"dropping-particle":"","family":"Herianto","given":"Edy","non-dropping-particle":"","parse-names":false,"suffix":""},{"dropping-particle":"","family":"Dahlan","given":"Dahlan","non-dropping-particle":"","parse-names":false,"suffix":""}],"container-title":"Jurnal Pendidikan Sosial Keberagaman","id":"ITEM-1","issued":{"date-parts":[["2019"]]},"title":"ASPEK PENDIDIKAN NILAI PANCASILA DALAM PERKAWINAN ADAT MBOJO (Studi Di Desa Soro Kecamatan Kempo Kabupaten Dompu)","type":"article-journal"},"uris":["http://www.mendeley.com/documents/?uuid=c12fe5c4-1507-48a0-be4d-211bb46b24be","http://www.mendeley.com/documents/?uuid=134cf5a3-3059-4dc3-8713-dee435f90fc5"]}],"mendeley":{"formattedCitation":"(Indrawati, Herianto, and Dahlan 2019)","plainTextFormattedCitation":"(Indrawati, Herianto, and Dahlan 2019)","previouslyFormattedCitation":"(Indrawati et al., 2019)"},"properties":{"noteIndex":0},"schema":"https://github.com/citation-style-language/schema/raw/master/csl-citation.json"}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(Indrawati, Herianto, and Dahlan 2019)</w:t>
      </w:r>
      <w:r w:rsidRPr="00AF3AC9">
        <w:rPr>
          <w:rFonts w:ascii="Garamond" w:hAnsi="Garamond"/>
        </w:rPr>
        <w:fldChar w:fldCharType="end"/>
      </w:r>
      <w:r w:rsidRPr="00AF3AC9">
        <w:rPr>
          <w:rFonts w:ascii="Garamond" w:hAnsi="Garamond"/>
        </w:rPr>
        <w:t xml:space="preserve">. Seperti, Undang-undang No. 1 Tahun 1974 tentang perkawinan, Kompilasi Hukum Islam, Peraturan Pemerintah No. 9 tahun 1975 dan lain-lain. Dalam hukum perkawinan Islam dikenal sebuah asas yang disebut selektivitas. Artinya bahwa, seseorang ketika hendak melangsungkan </w:t>
      </w:r>
      <w:r w:rsidRPr="00AF3AC9">
        <w:rPr>
          <w:rFonts w:ascii="Garamond" w:hAnsi="Garamond"/>
        </w:rPr>
        <w:lastRenderedPageBreak/>
        <w:t xml:space="preserve">pernikahan terlebih dahulu harus menyeleksi dengan siapa ia boleh menikah dan dengan siapa ia terlarang untuk menikah </w:t>
      </w:r>
      <w:r w:rsidRPr="00AF3AC9">
        <w:rPr>
          <w:rFonts w:ascii="Garamond" w:hAnsi="Garamond"/>
        </w:rPr>
        <w:fldChar w:fldCharType="begin" w:fldLock="1"/>
      </w:r>
      <w:r w:rsidR="00D64370">
        <w:rPr>
          <w:rFonts w:ascii="Garamond" w:hAnsi="Garamond"/>
        </w:rPr>
        <w:instrText>ADDIN CSL_CITATION {"citationItems":[{"id":"ITEM-1","itemData":{"DOI":"10.24114/jupiis.v9i2.8240","ISSN":"2085-482X","abstract":"Tujuan penelitian ini untuk mengetahui pengaturan hukum tentang Itsbat nikah dan pertimbangan hukum oleh hakim dalam menetapkan sahnya pernikahan menurut Undang-Undang Nomor 1 Tahun 1974 tentang Perkawinan dan akibat hukum yang sudah disahkan oleh Pengadilan Agama. Metode penelitian yang digunakan adalah penelitian hukum empiris dengan cara menganalisanya dari bahan pustaka dan data primer dengan meneliti langsung ke lapangan dan data sekunder. Berdasarkan hasil penelitian, ketentuan pengaturan itsbat nikah dalam perundang-undangan Indonesia, merupakan sebuah amanah dalam peraturan pada Pasal 7 ayat (2) dan (3) Intruksi Presiden Nomor 1 Tahun 1991 tentang Kompilasi Hukum Islam dan Undang-Undang Nomor 1 Tahun 1974 serta Peraturan Pemerintah Nomor 9 Tahun 1975 tentang Peraturan Pelaksana Undang-Undang Perkawinan dan Tata cara mengajukan permohonan itsbat nikah pada Pengadilan Agama Medan yaitu pertama, membuat surat permohonan, kedua pendaftaran atau memasukkan surat permohonan ke Loket II atau Loket III agar ditentukan SKUM biaya panjar perkara, ketiga pemanggilan para pihak Pemohon, keempat persidangan dan kelima pembacaan putusan atau penetapan serta Kedudukan itsbat nikah yang sudah disahkan di Pengadilan Agama yaitu permohonan itsbat nikah yang diajukan oleh suami dan isteri atau pihak-pihak lain telah dikabulkan Pengadilan Agama, maka implikasinya terhadap status perkawinan yang dilakukan tersebut telah mempunyai kekuatan hukum.","author":[{"dropping-particle":"","family":"Munthe","given":"Riswan","non-dropping-particle":"","parse-names":false,"suffix":""},{"dropping-particle":"","family":"Hidayani","given":"Sri","non-dropping-particle":"","parse-names":false,"suffix":""}],"container-title":"JUPIIS: JURNAL PENDIDIKAN ILMU-ILMU SOSIAL","id":"ITEM-1","issued":{"date-parts":[["2017"]]},"title":"Kajian Yuridis Permohonan Itsbat Nikah pada Pengadilan Agama Medan","type":"article-journal"},"uris":["http://www.mendeley.com/documents/?uuid=e78553c4-4ccf-448d-af3b-e8c8b55c99ae","http://www.mendeley.com/documents/?uuid=fa005f62-8f13-478b-8600-b28570ef2546"]}],"mendeley":{"formattedCitation":"(Munthe and Hidayani 2017)","plainTextFormattedCitation":"(Munthe and Hidayani 2017)","previouslyFormattedCitation":"(Munthe &amp; Hidayani, 2017)"},"properties":{"noteIndex":0},"schema":"https://github.com/citation-style-language/schema/raw/master/csl-citation.json"}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(Munthe and Hidayani 2017)</w:t>
      </w:r>
      <w:r w:rsidRPr="00AF3AC9">
        <w:rPr>
          <w:rFonts w:ascii="Garamond" w:hAnsi="Garamond"/>
        </w:rPr>
        <w:fldChar w:fldCharType="end"/>
      </w:r>
      <w:r w:rsidRPr="00AF3AC9">
        <w:rPr>
          <w:rFonts w:ascii="Garamond" w:hAnsi="Garamond"/>
        </w:rPr>
        <w:t xml:space="preserve">. Hal ini untuk menjaga agar pernikahan yang dilangsungkan tidak melanggar aturan-aturan yang ada. Terutama bila perempuan yang hendak dinikah ternyata terlarang untuk dinikahi, yang dalam Islam dikenal dengan istilah mahram (orang yang haram dinikahi) </w:t>
      </w:r>
      <w:r w:rsidRPr="00AF3AC9">
        <w:rPr>
          <w:rFonts w:ascii="Garamond" w:hAnsi="Garamond"/>
        </w:rPr>
        <w:fldChar w:fldCharType="begin" w:fldLock="1"/>
      </w:r>
      <w:r w:rsidR="00D64370">
        <w:rPr>
          <w:rFonts w:ascii="Garamond" w:hAnsi="Garamond"/>
        </w:rPr>
        <w:instrText>ADDIN CSL_CITATION {"citationItems":[{"id":"ITEM-1","itemData":{"DOI":"10.21580/sa.v12i3.2092","ISSN":"1978-5623","abstract":"&lt;p class=\"IIABSTRAK333\"&gt;This research is motivated by a thought that domestic violence is every act against a person, especially a woman, resulting in physical, sexual, psychological, and / or neglect of the suffering or suffering of the household. Seeing the fact, should not be much more domestic violence, but the reality of proving domestic violence is increasing. The purpose of the study: first, to know and analyze the violence in the household that the reason for the occurrence of divorce. Second, to know and analyze the authority of the Religious Courts in handling divorce cases caused by domestic violence. Thirdly, to know and analyze the legal conse­quences of the decision of the Religious Courts in divorce cases caused by domestic violence. Researchers use normative juridical approach method. The research specification used qualitative analytical descriptive research. Sources of data in this study are some judges of the Religious Courts. As the primary data are Law Number 1 Year 1974 About Marriage, KHI and interview guidelines in a structured manner. Against secondary data, the data collection method is done by library research. The results show that domestic violence is the reason for divorce. The reasons for divorce caused by cruelty or severe maltreatment have been set forth in the following provisions: a) provided for in Article 39 paragraph (2) of the explanation of Law Number 1 Year 1974 con­cerning Marriage; b) is regulated in Article 19 point (d) of Government Regulation Number 9 Year 1975 concerning the imple­mentation of Law Number 1 Year 1974 concerning Marriage; c) is regulated in Article 116 point (d) KHI (Compilation of Islamic Law). These reasons are included in the category of domestic violence. In other words, domestic violence is part of cruelty or severe abuse. The authority of the Religious Courts to handle divorce cases caused by domestic violence has been regulated in the Compilation of Islamic Law (KHI). The legal consequences of the decision of the Religious Courts in divorce cases caused by domestic violence are stipulated in Article 156 of KHI.&lt;/p&gt;&lt;p class=\"IIABSTRAK333\"&gt;_________________________________________________________&lt;/p&gt;Penelitian ini didorong oleh pemikiran bahwa kekerasan dalam rumah tangga adalah setiap tindakan terhadap seseorang, ter­utama wanita, yang mengakibatkan fisik, seksual, psikologis, dan/atau pengabaian penderitaan atau penderitaan rumah tangga. Melihat kenyataan, seharusnya tidak lebih banyak…","author":[{"dropping-particle":"","family":"Muhajarah","given":"Kurnia","non-dropping-particle":"","parse-names":false,"suffix":""}],"container-title":"Sawwa: Jurnal Studi Gender","id":"ITEM-1","issued":{"date-parts":[["2018"]]},"title":"AKIBAT HUKUM PERCERAIAN BAGI ANAK DAN ISTRI YANG DISEBABKAN OLEH KEKERASAN DALAM RUMAH TANGGA: Studi Kasus di Pengadilan Tinggi Agama Semarang","type":"article-journal"},"uris":["http://www.mendeley.com/documents/?uuid=a3a62798-0090-4ac8-a555-5039da053f93","http://www.mendeley.com/documents/?uuid=2f013593-6042-4322-b2ed-9f1c229a9e82"]}],"mendeley":{"formattedCitation":"(Muhajarah 2018)","plainTextFormattedCitation":"(Muhajarah 2018)","previouslyFormattedCitation":"(Muhajarah, 2018)"},"properties":{"noteIndex":0},"schema":"https://github.com/citation-style-language/schema/raw/master/csl-citation.json"}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(Muhajarah 2018)</w:t>
      </w:r>
      <w:r w:rsidRPr="00AF3AC9">
        <w:rPr>
          <w:rFonts w:ascii="Garamond" w:hAnsi="Garamond"/>
        </w:rPr>
        <w:fldChar w:fldCharType="end"/>
      </w:r>
      <w:r w:rsidRPr="00AF3AC9">
        <w:rPr>
          <w:rFonts w:ascii="Garamond" w:hAnsi="Garamond"/>
        </w:rPr>
        <w:t xml:space="preserve">. Perkawinan sesuku menurut adat Minangkabau merupakan sesuatu hal yang dilarang dikarenakan beberapa alasan-alasan tertentu. Menikah sesuku menurut logika hukum Minangkabau tidak baik. Sanksinya jika dilanggar adalah sanksi moral, dikucilkan dari pergaulan, dan lain-lainnya. Bukan saja pribadi orang yang mengerjakannya, tapi keluarga besar pun mendapat sanksinya. Namun dalam islam apakah kawin sesuku dibolehkan atau tidak </w:t>
      </w:r>
      <w:r w:rsidRPr="00AF3AC9">
        <w:rPr>
          <w:rFonts w:ascii="Garamond" w:hAnsi="Garamond"/>
        </w:rPr>
        <w:fldChar w:fldCharType="begin" w:fldLock="1"/>
      </w:r>
      <w:r w:rsidR="00D64370">
        <w:rPr>
          <w:rFonts w:ascii="Garamond" w:hAnsi="Garamond"/>
        </w:rPr>
        <w:instrText>ADDIN CSL_CITATION {"citationItems":[{"id":"ITEM-1","itemData":{"abstract":"Pembagian warisan di daerah perbatasan berawal dari setelah seseorang lahir dan hidup dengan keluarga, ayah ibu dan saudaranya atau dengan orang lain yang mengasuhnya. Kemudian mengenal anggota kerabat dan ia tahu siapa yang berhak dan berkewajiban mengatur dirinya dan memelihara seseorang tersebut Dalam penulisan jurnal ini, penulis merumuskan 3 (tiga ) permasalahan yakni bagaimana proses perkawinan antar suku di daerah perbatasan Kabupaten Pasaman dengan Kabupaten Mandahiling Natal, bagaimana kedudukan harta dalam perkawinan antar suku yang terjadi di daerah perbatasan KabupatenPasaman dan Kabupaten Mandahiling Natal dan Bagaimanakah proses pembagian harta warisan dalam perkawinan antar suku di daerah perbatasan Nagari Batas , Sumatera Barat dengan Desa Muaro Sipongi Kab. Mandahiling Natal, Sumatera Utara. Metode penelitian yang dipergunakan adalah metode yuridis sosiologis. Teknik pengumpulan data yang penulis gunakan dengan cara wawancara dan studi pustaka. Dari penelitian yang penulis teliti, diketahui bahwa Proses perkawinan antar suku di daerah perbatasan Nagari Batas dan Desa Muaro Sipongi dilakukan secara adat masing - masing, yaitu campuran adat antara suku Minang kabau dan suku batak mandailing. Kedudukan harta dari perkawinan antar suku di daerah perbatasan Nagari Batas , Kabupaten Pasaman dan Desa uaro Sipongi , Kabupaten Mandahiling Natal ini adalah menganut sistem kekerabatan patrilineal yaitu sistem kekerabatan menurut garis keturunan laki-laki (Bapak) yang beragama islam (muslim)dan mengelompokkan hartanya menjadi 3 bagian sebgaimana halnya aturan Undang - undang mengaturnya .Akan tetapi dalam pembagian harta warisan pada suatu ke luarga tersebut hanya 217","author":[{"dropping-particle":"","family":"Al-himayah","given":"Jurnal","non-dropping-particle":"","parse-names":false,"suffix":""}],"container-title":"Pembagian Harta Waris (Studi Analisis Marga Mandailing di Kabupaten Pasaman Berdasarkan Konsep Dasar Sosiologi Hukum )","id":"ITEM-1","issued":{"date-parts":[["2018"]]},"title":"Jurnal Al-Himayah","type":"article-journal"},"uris":["http://www.mendeley.com/documents/?uuid=a0d23aef-237f-45d0-a527-08a465b9ef30","http://www.mendeley.com/documents/?uuid=7bb6398d-5f05-4774-8292-c36af04299fa"]}],"mendeley":{"formattedCitation":"(Al-himayah 2018)","plainTextFormattedCitation":"(Al-himayah 2018)","previouslyFormattedCitation":"(Al-himayah, 2018)"},"properties":{"noteIndex":0},"schema":"https://github.com/citation-style-language/schema/raw/master/csl-citation.json"}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(Al-himayah 2018)</w:t>
      </w:r>
      <w:r w:rsidRPr="00AF3AC9">
        <w:rPr>
          <w:rFonts w:ascii="Garamond" w:hAnsi="Garamond"/>
        </w:rPr>
        <w:fldChar w:fldCharType="end"/>
      </w:r>
      <w:r w:rsidRPr="00AF3AC9">
        <w:rPr>
          <w:rFonts w:ascii="Garamond" w:hAnsi="Garamond"/>
        </w:rPr>
        <w:t>.</w:t>
      </w:r>
    </w:p>
    <w:p w14:paraId="1B5DF655" w14:textId="74F27DF0" w:rsidR="00AF3AC9" w:rsidRPr="00AF3AC9" w:rsidRDefault="00AF3AC9" w:rsidP="00AF3AC9">
      <w:pPr>
        <w:spacing w:after="0" w:line="240" w:lineRule="auto"/>
        <w:ind w:firstLine="360"/>
        <w:jc w:val="both"/>
        <w:rPr>
          <w:rFonts w:ascii="Garamond" w:hAnsi="Garamond"/>
        </w:rPr>
      </w:pPr>
      <w:r w:rsidRPr="00AF3AC9">
        <w:rPr>
          <w:rFonts w:ascii="Garamond" w:hAnsi="Garamond"/>
        </w:rPr>
        <w:t>Pada</w:t>
      </w:r>
      <w:r w:rsidRPr="00AF3AC9">
        <w:rPr>
          <w:rFonts w:ascii="Garamond" w:hAnsi="Garamond"/>
          <w:spacing w:val="-8"/>
        </w:rPr>
        <w:t xml:space="preserve"> </w:t>
      </w:r>
      <w:r w:rsidRPr="00AF3AC9">
        <w:rPr>
          <w:rFonts w:ascii="Garamond" w:hAnsi="Garamond"/>
        </w:rPr>
        <w:t>dasarnya</w:t>
      </w:r>
      <w:r w:rsidRPr="00AF3AC9">
        <w:rPr>
          <w:rFonts w:ascii="Garamond" w:hAnsi="Garamond"/>
          <w:spacing w:val="-8"/>
        </w:rPr>
        <w:t xml:space="preserve"> </w:t>
      </w:r>
      <w:r w:rsidRPr="00AF3AC9">
        <w:rPr>
          <w:rFonts w:ascii="Garamond" w:hAnsi="Garamond"/>
        </w:rPr>
        <w:t>istilah</w:t>
      </w:r>
      <w:r w:rsidRPr="00AF3AC9">
        <w:rPr>
          <w:rFonts w:ascii="Garamond" w:hAnsi="Garamond"/>
          <w:spacing w:val="-6"/>
        </w:rPr>
        <w:t xml:space="preserve"> </w:t>
      </w:r>
      <w:r w:rsidRPr="00AF3AC9">
        <w:rPr>
          <w:rFonts w:ascii="Garamond" w:hAnsi="Garamond"/>
        </w:rPr>
        <w:t>hukum</w:t>
      </w:r>
      <w:r w:rsidRPr="00AF3AC9">
        <w:rPr>
          <w:rFonts w:ascii="Garamond" w:hAnsi="Garamond"/>
          <w:spacing w:val="-7"/>
        </w:rPr>
        <w:t xml:space="preserve"> </w:t>
      </w:r>
      <w:r w:rsidRPr="00AF3AC9">
        <w:rPr>
          <w:rFonts w:ascii="Garamond" w:hAnsi="Garamond"/>
        </w:rPr>
        <w:t>adat</w:t>
      </w:r>
      <w:r w:rsidRPr="00AF3AC9">
        <w:rPr>
          <w:rFonts w:ascii="Garamond" w:hAnsi="Garamond"/>
          <w:spacing w:val="-7"/>
        </w:rPr>
        <w:t xml:space="preserve"> </w:t>
      </w:r>
      <w:r w:rsidRPr="00AF3AC9">
        <w:rPr>
          <w:rFonts w:ascii="Garamond" w:hAnsi="Garamond"/>
        </w:rPr>
        <w:t>berasal</w:t>
      </w:r>
      <w:r w:rsidRPr="00AF3AC9">
        <w:rPr>
          <w:rFonts w:ascii="Garamond" w:hAnsi="Garamond"/>
          <w:spacing w:val="-6"/>
        </w:rPr>
        <w:t xml:space="preserve"> </w:t>
      </w:r>
      <w:r w:rsidRPr="00AF3AC9">
        <w:rPr>
          <w:rFonts w:ascii="Garamond" w:hAnsi="Garamond"/>
        </w:rPr>
        <w:t>dari</w:t>
      </w:r>
      <w:r w:rsidRPr="00AF3AC9">
        <w:rPr>
          <w:rFonts w:ascii="Garamond" w:hAnsi="Garamond"/>
          <w:spacing w:val="-8"/>
        </w:rPr>
        <w:t xml:space="preserve"> </w:t>
      </w:r>
      <w:r w:rsidRPr="00AF3AC9">
        <w:rPr>
          <w:rFonts w:ascii="Garamond" w:hAnsi="Garamond"/>
        </w:rPr>
        <w:t>bahasa</w:t>
      </w:r>
      <w:r w:rsidRPr="00AF3AC9">
        <w:rPr>
          <w:rFonts w:ascii="Garamond" w:hAnsi="Garamond"/>
          <w:spacing w:val="-7"/>
        </w:rPr>
        <w:t xml:space="preserve"> </w:t>
      </w:r>
      <w:r w:rsidRPr="00AF3AC9">
        <w:rPr>
          <w:rFonts w:ascii="Garamond" w:hAnsi="Garamond"/>
        </w:rPr>
        <w:t>arab,</w:t>
      </w:r>
      <w:r w:rsidRPr="00AF3AC9">
        <w:rPr>
          <w:rFonts w:ascii="Garamond" w:hAnsi="Garamond"/>
          <w:spacing w:val="-4"/>
        </w:rPr>
        <w:t xml:space="preserve"> </w:t>
      </w:r>
      <w:r w:rsidRPr="00AF3AC9">
        <w:rPr>
          <w:rFonts w:ascii="Garamond" w:hAnsi="Garamond"/>
          <w:i/>
        </w:rPr>
        <w:t>“Huk’mun”</w:t>
      </w:r>
      <w:r w:rsidRPr="00AF3AC9">
        <w:rPr>
          <w:rFonts w:ascii="Garamond" w:hAnsi="Garamond"/>
          <w:i/>
          <w:spacing w:val="-58"/>
        </w:rPr>
        <w:t xml:space="preserve"> </w:t>
      </w:r>
      <w:r w:rsidRPr="00AF3AC9">
        <w:rPr>
          <w:rFonts w:ascii="Garamond" w:hAnsi="Garamond"/>
        </w:rPr>
        <w:t>dan</w:t>
      </w:r>
      <w:r w:rsidRPr="00AF3AC9">
        <w:rPr>
          <w:rFonts w:ascii="Garamond" w:hAnsi="Garamond"/>
          <w:spacing w:val="-4"/>
        </w:rPr>
        <w:t xml:space="preserve"> </w:t>
      </w:r>
      <w:r w:rsidRPr="00AF3AC9">
        <w:rPr>
          <w:rFonts w:ascii="Garamond" w:hAnsi="Garamond"/>
          <w:i/>
        </w:rPr>
        <w:t>“Adah”</w:t>
      </w:r>
      <w:r w:rsidRPr="00AF3AC9">
        <w:rPr>
          <w:rFonts w:ascii="Garamond" w:hAnsi="Garamond"/>
          <w:i/>
          <w:spacing w:val="-2"/>
        </w:rPr>
        <w:t xml:space="preserve"> </w:t>
      </w:r>
      <w:r w:rsidRPr="00AF3AC9">
        <w:rPr>
          <w:rFonts w:ascii="Garamond" w:hAnsi="Garamond"/>
        </w:rPr>
        <w:t>(jamaknya</w:t>
      </w:r>
      <w:r w:rsidRPr="00AF3AC9">
        <w:rPr>
          <w:rFonts w:ascii="Garamond" w:hAnsi="Garamond"/>
          <w:spacing w:val="-3"/>
        </w:rPr>
        <w:t xml:space="preserve"> </w:t>
      </w:r>
      <w:r w:rsidRPr="00AF3AC9">
        <w:rPr>
          <w:rFonts w:ascii="Garamond" w:hAnsi="Garamond"/>
        </w:rPr>
        <w:t>,</w:t>
      </w:r>
      <w:r w:rsidRPr="00AF3AC9">
        <w:rPr>
          <w:rFonts w:ascii="Garamond" w:hAnsi="Garamond"/>
          <w:spacing w:val="1"/>
        </w:rPr>
        <w:t xml:space="preserve"> </w:t>
      </w:r>
      <w:r w:rsidRPr="00AF3AC9">
        <w:rPr>
          <w:rFonts w:ascii="Garamond" w:hAnsi="Garamond"/>
          <w:i/>
        </w:rPr>
        <w:t>Ahkam</w:t>
      </w:r>
      <w:r w:rsidRPr="00AF3AC9">
        <w:rPr>
          <w:rFonts w:ascii="Garamond" w:hAnsi="Garamond"/>
        </w:rPr>
        <w:t>)</w:t>
      </w:r>
      <w:r w:rsidRPr="00AF3AC9">
        <w:rPr>
          <w:rFonts w:ascii="Garamond" w:hAnsi="Garamond"/>
          <w:spacing w:val="1"/>
        </w:rPr>
        <w:t xml:space="preserve"> </w:t>
      </w:r>
      <w:r w:rsidRPr="00AF3AC9">
        <w:rPr>
          <w:rFonts w:ascii="Garamond" w:hAnsi="Garamond"/>
        </w:rPr>
        <w:t>yang</w:t>
      </w:r>
      <w:r w:rsidRPr="00AF3AC9">
        <w:rPr>
          <w:rFonts w:ascii="Garamond" w:hAnsi="Garamond"/>
          <w:spacing w:val="-6"/>
        </w:rPr>
        <w:t xml:space="preserve"> </w:t>
      </w:r>
      <w:r w:rsidRPr="00AF3AC9">
        <w:rPr>
          <w:rFonts w:ascii="Garamond" w:hAnsi="Garamond"/>
        </w:rPr>
        <w:t>berarti</w:t>
      </w:r>
      <w:r w:rsidRPr="00AF3AC9">
        <w:rPr>
          <w:rFonts w:ascii="Garamond" w:hAnsi="Garamond"/>
          <w:spacing w:val="-4"/>
        </w:rPr>
        <w:t xml:space="preserve"> </w:t>
      </w:r>
      <w:r w:rsidRPr="00AF3AC9">
        <w:rPr>
          <w:rFonts w:ascii="Garamond" w:hAnsi="Garamond"/>
        </w:rPr>
        <w:t>suruhan</w:t>
      </w:r>
      <w:r w:rsidRPr="00AF3AC9">
        <w:rPr>
          <w:rFonts w:ascii="Garamond" w:hAnsi="Garamond"/>
          <w:spacing w:val="-4"/>
        </w:rPr>
        <w:t xml:space="preserve"> </w:t>
      </w:r>
      <w:r w:rsidRPr="00AF3AC9">
        <w:rPr>
          <w:rFonts w:ascii="Garamond" w:hAnsi="Garamond"/>
        </w:rPr>
        <w:t>atau</w:t>
      </w:r>
      <w:r w:rsidRPr="00AF3AC9">
        <w:rPr>
          <w:rFonts w:ascii="Garamond" w:hAnsi="Garamond"/>
          <w:spacing w:val="-2"/>
        </w:rPr>
        <w:t xml:space="preserve"> </w:t>
      </w:r>
      <w:r w:rsidRPr="00AF3AC9">
        <w:rPr>
          <w:rFonts w:ascii="Garamond" w:hAnsi="Garamond"/>
        </w:rPr>
        <w:t>ketentuan.</w:t>
      </w:r>
      <w:r w:rsidRPr="00AF3AC9">
        <w:rPr>
          <w:rFonts w:ascii="Garamond" w:hAnsi="Garamond"/>
          <w:spacing w:val="-3"/>
        </w:rPr>
        <w:t xml:space="preserve"> </w:t>
      </w:r>
      <w:r w:rsidRPr="00AF3AC9">
        <w:rPr>
          <w:rFonts w:ascii="Garamond" w:hAnsi="Garamond"/>
        </w:rPr>
        <w:t>Selain</w:t>
      </w:r>
      <w:r w:rsidRPr="00AF3AC9">
        <w:rPr>
          <w:rFonts w:ascii="Garamond" w:hAnsi="Garamond"/>
          <w:spacing w:val="-58"/>
        </w:rPr>
        <w:t xml:space="preserve"> </w:t>
      </w:r>
      <w:r w:rsidRPr="00AF3AC9">
        <w:rPr>
          <w:rFonts w:ascii="Garamond" w:hAnsi="Garamond"/>
          <w:spacing w:val="-1"/>
        </w:rPr>
        <w:t>itu</w:t>
      </w:r>
      <w:r w:rsidRPr="00AF3AC9">
        <w:rPr>
          <w:rFonts w:ascii="Garamond" w:hAnsi="Garamond"/>
          <w:spacing w:val="-12"/>
        </w:rPr>
        <w:t xml:space="preserve"> </w:t>
      </w:r>
      <w:r w:rsidRPr="00AF3AC9">
        <w:rPr>
          <w:rFonts w:ascii="Garamond" w:hAnsi="Garamond"/>
          <w:spacing w:val="-1"/>
        </w:rPr>
        <w:t>dalam</w:t>
      </w:r>
      <w:r w:rsidRPr="00AF3AC9">
        <w:rPr>
          <w:rFonts w:ascii="Garamond" w:hAnsi="Garamond"/>
          <w:spacing w:val="-12"/>
        </w:rPr>
        <w:t xml:space="preserve"> </w:t>
      </w:r>
      <w:r w:rsidRPr="00AF3AC9">
        <w:rPr>
          <w:rFonts w:ascii="Garamond" w:hAnsi="Garamond"/>
          <w:spacing w:val="-1"/>
        </w:rPr>
        <w:t>hukum</w:t>
      </w:r>
      <w:r w:rsidRPr="00AF3AC9">
        <w:rPr>
          <w:rFonts w:ascii="Garamond" w:hAnsi="Garamond"/>
          <w:spacing w:val="-8"/>
        </w:rPr>
        <w:t xml:space="preserve"> </w:t>
      </w:r>
      <w:r w:rsidRPr="00AF3AC9">
        <w:rPr>
          <w:rFonts w:ascii="Garamond" w:hAnsi="Garamond"/>
          <w:spacing w:val="-1"/>
        </w:rPr>
        <w:t>Islam</w:t>
      </w:r>
      <w:r w:rsidRPr="00AF3AC9">
        <w:rPr>
          <w:rFonts w:ascii="Garamond" w:hAnsi="Garamond"/>
          <w:spacing w:val="-12"/>
        </w:rPr>
        <w:t xml:space="preserve"> </w:t>
      </w:r>
      <w:r w:rsidRPr="00AF3AC9">
        <w:rPr>
          <w:rFonts w:ascii="Garamond" w:hAnsi="Garamond"/>
          <w:spacing w:val="-1"/>
        </w:rPr>
        <w:t>dikenal</w:t>
      </w:r>
      <w:r w:rsidRPr="00AF3AC9">
        <w:rPr>
          <w:rFonts w:ascii="Garamond" w:hAnsi="Garamond"/>
          <w:spacing w:val="-12"/>
        </w:rPr>
        <w:t xml:space="preserve"> </w:t>
      </w:r>
      <w:r w:rsidRPr="00AF3AC9">
        <w:rPr>
          <w:rFonts w:ascii="Garamond" w:hAnsi="Garamond"/>
        </w:rPr>
        <w:t>dengan</w:t>
      </w:r>
      <w:r w:rsidRPr="00AF3AC9">
        <w:rPr>
          <w:rFonts w:ascii="Garamond" w:hAnsi="Garamond"/>
          <w:spacing w:val="-10"/>
        </w:rPr>
        <w:t xml:space="preserve"> </w:t>
      </w:r>
      <w:r w:rsidRPr="00AF3AC9">
        <w:rPr>
          <w:rFonts w:ascii="Garamond" w:hAnsi="Garamond"/>
          <w:i/>
        </w:rPr>
        <w:t>“Hukum</w:t>
      </w:r>
      <w:r w:rsidRPr="00AF3AC9">
        <w:rPr>
          <w:rFonts w:ascii="Garamond" w:hAnsi="Garamond"/>
          <w:i/>
          <w:spacing w:val="-13"/>
        </w:rPr>
        <w:t xml:space="preserve"> </w:t>
      </w:r>
      <w:r w:rsidRPr="00AF3AC9">
        <w:rPr>
          <w:rFonts w:ascii="Garamond" w:hAnsi="Garamond"/>
          <w:i/>
        </w:rPr>
        <w:t>Syari’ah”</w:t>
      </w:r>
      <w:r w:rsidRPr="00AF3AC9">
        <w:rPr>
          <w:rFonts w:ascii="Garamond" w:hAnsi="Garamond"/>
          <w:i/>
          <w:spacing w:val="-8"/>
        </w:rPr>
        <w:t xml:space="preserve"> </w:t>
      </w:r>
      <w:r w:rsidRPr="00AF3AC9">
        <w:rPr>
          <w:rFonts w:ascii="Garamond" w:hAnsi="Garamond"/>
        </w:rPr>
        <w:t>yang</w:t>
      </w:r>
      <w:r w:rsidRPr="00AF3AC9">
        <w:rPr>
          <w:rFonts w:ascii="Garamond" w:hAnsi="Garamond"/>
          <w:spacing w:val="-15"/>
        </w:rPr>
        <w:t xml:space="preserve"> </w:t>
      </w:r>
      <w:r w:rsidRPr="00AF3AC9">
        <w:rPr>
          <w:rFonts w:ascii="Garamond" w:hAnsi="Garamond"/>
        </w:rPr>
        <w:t>terdapat</w:t>
      </w:r>
      <w:r w:rsidRPr="00AF3AC9">
        <w:rPr>
          <w:rFonts w:ascii="Garamond" w:hAnsi="Garamond"/>
          <w:spacing w:val="-12"/>
        </w:rPr>
        <w:t xml:space="preserve"> </w:t>
      </w:r>
      <w:r w:rsidRPr="00AF3AC9">
        <w:rPr>
          <w:rFonts w:ascii="Garamond" w:hAnsi="Garamond"/>
        </w:rPr>
        <w:t>lima</w:t>
      </w:r>
      <w:r w:rsidRPr="00AF3AC9">
        <w:rPr>
          <w:rFonts w:ascii="Garamond" w:hAnsi="Garamond"/>
          <w:spacing w:val="-57"/>
        </w:rPr>
        <w:t xml:space="preserve"> </w:t>
      </w:r>
      <w:r w:rsidRPr="00AF3AC9">
        <w:rPr>
          <w:rFonts w:ascii="Garamond" w:hAnsi="Garamond"/>
        </w:rPr>
        <w:t xml:space="preserve">macam suruhan dan perintah yang disebut </w:t>
      </w:r>
      <w:r w:rsidRPr="00AF3AC9">
        <w:rPr>
          <w:rFonts w:ascii="Garamond" w:hAnsi="Garamond"/>
          <w:i/>
        </w:rPr>
        <w:t>“al-ahkam</w:t>
      </w:r>
      <w:r w:rsidRPr="00AF3AC9">
        <w:rPr>
          <w:rFonts w:ascii="Garamond" w:hAnsi="Garamond"/>
          <w:i/>
          <w:spacing w:val="1"/>
        </w:rPr>
        <w:t xml:space="preserve"> </w:t>
      </w:r>
      <w:r w:rsidRPr="00AF3AC9">
        <w:rPr>
          <w:rFonts w:ascii="Garamond" w:hAnsi="Garamond"/>
          <w:i/>
        </w:rPr>
        <w:t xml:space="preserve">al-khamsah” </w:t>
      </w:r>
      <w:r w:rsidRPr="00AF3AC9">
        <w:rPr>
          <w:rFonts w:ascii="Garamond" w:hAnsi="Garamond"/>
        </w:rPr>
        <w:t>yaitu :</w:t>
      </w:r>
      <w:r w:rsidRPr="00AF3AC9">
        <w:rPr>
          <w:rFonts w:ascii="Garamond" w:hAnsi="Garamond"/>
          <w:spacing w:val="1"/>
        </w:rPr>
        <w:t xml:space="preserve"> </w:t>
      </w:r>
      <w:r w:rsidRPr="00AF3AC9">
        <w:rPr>
          <w:rFonts w:ascii="Garamond" w:hAnsi="Garamond"/>
          <w:i/>
        </w:rPr>
        <w:t xml:space="preserve">fardh </w:t>
      </w:r>
      <w:r w:rsidRPr="00AF3AC9">
        <w:rPr>
          <w:rFonts w:ascii="Garamond" w:hAnsi="Garamond"/>
        </w:rPr>
        <w:t xml:space="preserve">(wajib), haram (larangan), </w:t>
      </w:r>
      <w:r w:rsidRPr="00AF3AC9">
        <w:rPr>
          <w:rFonts w:ascii="Garamond" w:hAnsi="Garamond"/>
          <w:i/>
        </w:rPr>
        <w:t xml:space="preserve">mandub atau sunnah </w:t>
      </w:r>
      <w:r w:rsidRPr="00AF3AC9">
        <w:rPr>
          <w:rFonts w:ascii="Garamond" w:hAnsi="Garamond"/>
        </w:rPr>
        <w:t xml:space="preserve">(anjuran), </w:t>
      </w:r>
      <w:r w:rsidRPr="00AF3AC9">
        <w:rPr>
          <w:rFonts w:ascii="Garamond" w:hAnsi="Garamond"/>
          <w:i/>
        </w:rPr>
        <w:t>makhruh</w:t>
      </w:r>
      <w:r w:rsidRPr="00AF3AC9">
        <w:rPr>
          <w:rFonts w:ascii="Garamond" w:hAnsi="Garamond"/>
          <w:i/>
          <w:spacing w:val="1"/>
        </w:rPr>
        <w:t xml:space="preserve"> </w:t>
      </w:r>
      <w:r w:rsidRPr="00AF3AC9">
        <w:rPr>
          <w:rFonts w:ascii="Garamond" w:hAnsi="Garamond"/>
        </w:rPr>
        <w:t>(celaan), dan</w:t>
      </w:r>
      <w:r w:rsidRPr="00AF3AC9">
        <w:rPr>
          <w:rFonts w:ascii="Garamond" w:hAnsi="Garamond"/>
          <w:spacing w:val="1"/>
        </w:rPr>
        <w:t xml:space="preserve"> </w:t>
      </w:r>
      <w:r w:rsidRPr="00AF3AC9">
        <w:rPr>
          <w:rFonts w:ascii="Garamond" w:hAnsi="Garamond"/>
          <w:i/>
        </w:rPr>
        <w:t>jaiz</w:t>
      </w:r>
      <w:r w:rsidRPr="00AF3AC9">
        <w:rPr>
          <w:rFonts w:ascii="Garamond" w:hAnsi="Garamond"/>
        </w:rPr>
        <w:t xml:space="preserve">, mubah atau halal (kebolehan). </w:t>
      </w:r>
      <w:r w:rsidRPr="00AF3AC9">
        <w:rPr>
          <w:rFonts w:ascii="Garamond" w:hAnsi="Garamond"/>
          <w:i/>
        </w:rPr>
        <w:t xml:space="preserve">Adah </w:t>
      </w:r>
      <w:r w:rsidRPr="00AF3AC9">
        <w:rPr>
          <w:rFonts w:ascii="Garamond" w:hAnsi="Garamond"/>
        </w:rPr>
        <w:t xml:space="preserve">atau </w:t>
      </w:r>
      <w:r w:rsidRPr="00AF3AC9">
        <w:rPr>
          <w:rFonts w:ascii="Garamond" w:hAnsi="Garamond"/>
          <w:i/>
        </w:rPr>
        <w:t xml:space="preserve">adat </w:t>
      </w:r>
      <w:r w:rsidRPr="00AF3AC9">
        <w:rPr>
          <w:rFonts w:ascii="Garamond" w:hAnsi="Garamond"/>
        </w:rPr>
        <w:t>ini dalam</w:t>
      </w:r>
      <w:r w:rsidRPr="00AF3AC9">
        <w:rPr>
          <w:rFonts w:ascii="Garamond" w:hAnsi="Garamond"/>
          <w:spacing w:val="1"/>
        </w:rPr>
        <w:t xml:space="preserve"> </w:t>
      </w:r>
      <w:r w:rsidRPr="00AF3AC9">
        <w:rPr>
          <w:rFonts w:ascii="Garamond" w:hAnsi="Garamond"/>
        </w:rPr>
        <w:t xml:space="preserve">bahasa arab disebut dengan arti </w:t>
      </w:r>
      <w:r w:rsidRPr="00AF3AC9">
        <w:rPr>
          <w:rFonts w:ascii="Garamond" w:hAnsi="Garamond"/>
          <w:i/>
        </w:rPr>
        <w:t>“kebiasaan”</w:t>
      </w:r>
      <w:r w:rsidRPr="00AF3AC9">
        <w:rPr>
          <w:rFonts w:ascii="Garamond" w:hAnsi="Garamond"/>
        </w:rPr>
        <w:t>yaitu suatu perilaku masyarakat</w:t>
      </w:r>
      <w:r w:rsidRPr="00AF3AC9">
        <w:rPr>
          <w:rFonts w:ascii="Garamond" w:hAnsi="Garamond"/>
          <w:spacing w:val="-57"/>
        </w:rPr>
        <w:t xml:space="preserve"> </w:t>
      </w:r>
      <w:r w:rsidRPr="00AF3AC9">
        <w:rPr>
          <w:rFonts w:ascii="Garamond" w:hAnsi="Garamond"/>
        </w:rPr>
        <w:t>yang</w:t>
      </w:r>
      <w:r w:rsidRPr="00AF3AC9">
        <w:rPr>
          <w:rFonts w:ascii="Garamond" w:hAnsi="Garamond"/>
          <w:spacing w:val="-3"/>
        </w:rPr>
        <w:t xml:space="preserve"> </w:t>
      </w:r>
      <w:r w:rsidRPr="00AF3AC9">
        <w:rPr>
          <w:rFonts w:ascii="Garamond" w:hAnsi="Garamond"/>
        </w:rPr>
        <w:t xml:space="preserve">selalu terjadi </w:t>
      </w:r>
      <w:r w:rsidRPr="00AF3AC9">
        <w:rPr>
          <w:rFonts w:ascii="Garamond" w:hAnsi="Garamond"/>
        </w:rPr>
        <w:fldChar w:fldCharType="begin" w:fldLock="1"/>
      </w:r>
      <w:r w:rsidR="00D64370">
        <w:rPr>
          <w:rFonts w:ascii="Garamond" w:hAnsi="Garamond"/>
        </w:rPr>
        <w:instrText>ADDIN CSL_CITATION {"citationItems":[{"id":"ITEM-1","itemData":{"DOI":"10.18860/el.v16i1.2511","ISSN":"1858-4357","abstract":"&lt;p&gt;&lt;strong&gt;Abstract&lt;/strong&gt;&lt;/p&gt; &lt;p&gt;&lt;em&gt;Minangkabau Minangkabau or Minang is commonly abbreviated archipelago ethnic groups who speak and uphold traditional Minangkabau. The area includes adherents of the culture of West Sumatra, Riau mainland half, the northern part of Bengkulu, Jambi the west, the west coast of North Sumatra, southwest of Aceh, and also Negeri Sembilan in Malaysia. In layman conversation, Minang people are often confused as the Padang, referring to the name of the capital of West Sumatra province is Padang. However, these people will usually refer to the group as urang crew, which is intended to equal the Minang people themselves. Origins of \"Minangkabau\" Minangkabau name comes from two words, minang and Kabau. The name was associated with a typical Minang known legend in the legend. Of the legend, it is said at one time there was a foreign kingdom (commonly interpreted as Majapahit) that come from the sea will do the conquest&lt;/em&gt;&lt;em&gt; (&lt;/em&gt;&lt;em&gt;Setyawan. 2009&lt;/em&gt;. &lt;em&gt; 115). To prevent fighting, the local community proposed to complain buffalo. Foreign forces are approved and provide a large buffalo and aggressive, while the local community to provide a hungry calves. In the battle, which are hungry calves were expecting big buffalo is the parent. The child then ran buffalo milk and gore seek to dismember the great buffalo stomach. The victory inspired the local community using the name Minangkabau, derived from the words \"Manang Kabau\" (meaning winning buffalo). &lt;/em&gt;&lt;/p&gt; &lt;p&gt;&lt;strong&gt;&lt;em&gt;Keywords&lt;/em&gt;&lt;/strong&gt;&lt;em&gt;: Islamic Culture, Marriage, Minagkabau&lt;/em&gt;&lt;/p&gt; &lt;p&gt; &lt;/p&gt; &lt;p&gt;&lt;strong&gt;Abstrak&lt;/strong&gt;&lt;/p&gt; &lt;p&gt;Minangkabau Minangkabau atau yang biasa disingkat Minang adalah kelompok etnis Nusantara yang berbahasa dan menjunjung adat Minangkabau. Wilayah penganut kebudayaannya meliputi Sumatera Barat, separuh daratan Riau, bagian utara Bengkulu, bagian barat Jambi, pantai barat Sumatera Utara, barat daya Aceh, dan juga Negeri Sembilan di Malaysia. Dalam percakapan awam, orang Minang seringkali disamakan sebagai orang Padang, merujuk kepada nama ibu kota provinsi Sumatera Barat yaitu kota Padang. Namun, masyarakat ini biasanya akan menyebut kelompoknya dengan sebutan urang awak, yang bermaksud sama dengan orang Minang itu sendiri. Asal Usul “Minangkabau” Nama Minangkabau berasal dari dua kata, minang dan kabau. Nama itu dikaitkan dengan suatu legenda khas Minang yang dikenal di dalam tambo. Dari tambo tersebut, konon pada suatu masa ada satu…","author":[{"dropping-particle":"","family":"Arifin","given":"Syamsul","non-dropping-particle":"","parse-names":false,"suffix":""}],"container-title":"El-HARAKAH (TERAKREDITASI)","id":"ITEM-1","issued":{"date-parts":[["2016"]]},"title":"Budaya Islam dalam Adat Perkawinan Minangkabau","type":"article-journal"},"uris":["http://www.mendeley.com/documents/?uuid=1c010b8d-1eda-41dc-96cb-b1abc0cc289d","http://www.mendeley.com/documents/?uuid=70c69299-2d1b-4491-854d-9045d17b22d7"]}],"mendeley":{"formattedCitation":"(Arifin 2016)","plainTextFormattedCitation":"(Arifin 2016)","previouslyFormattedCitation":"(Arifin, 2016)"},"properties":{"noteIndex":0},"schema":"https://github.com/citation-style-language/schema/raw/master/csl-citation.json"}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(Arifin 2016)</w:t>
      </w:r>
      <w:r w:rsidRPr="00AF3AC9">
        <w:rPr>
          <w:rFonts w:ascii="Garamond" w:hAnsi="Garamond"/>
        </w:rPr>
        <w:fldChar w:fldCharType="end"/>
      </w:r>
      <w:r w:rsidRPr="00AF3AC9">
        <w:rPr>
          <w:rFonts w:ascii="Garamond" w:hAnsi="Garamond"/>
        </w:rPr>
        <w:t xml:space="preserve">. Dalam  budaya  adat  Minangkabau  sendiri  terdapat  perkawinan  sesuku yang  menjadi  dinding  penghalang  seseorang  untuk  bisa  melangsungkan perkawinan  dengan  orang  yang  sesuku  dengannya,  dimana  masing-masing suku tersebut dipimpin oleh seorang penghulu. Penghulu merupakan sebuah gelar  yang  diberikan  kepada  seorang  pemimpin  suatu  suku  atau  korong  di wilayah  populasi  etnis  Minangkabau .  Seorang  Penghulu  harus  dipilih  dari figur  yang  dianggap  paling  bijaksana,  paling  mampu,  dan  seorang  laik-laki yang  paling  jernih  pandangannya  diantara  anggota  keluarga  keturunannya </w:t>
      </w:r>
      <w:r w:rsidRPr="00AF3AC9">
        <w:rPr>
          <w:rFonts w:ascii="Garamond" w:hAnsi="Garamond"/>
          <w:color w:val="222222"/>
          <w:shd w:val="clear" w:color="auto" w:fill="FFFFFF"/>
          <w:lang w:val="id-ID"/>
        </w:rPr>
        <w:t>S</w:t>
      </w:r>
      <w:r w:rsidRPr="00AF3AC9">
        <w:rPr>
          <w:rFonts w:ascii="Garamond" w:hAnsi="Garamond"/>
          <w:color w:val="222222"/>
          <w:shd w:val="clear" w:color="auto" w:fill="FFFFFF"/>
        </w:rPr>
        <w:t>ilvianetri Silvianetri, S., &amp; elviana Elviana, E. (2021)</w:t>
      </w:r>
      <w:r w:rsidRPr="00AF3AC9">
        <w:rPr>
          <w:rFonts w:ascii="Garamond" w:hAnsi="Garamond"/>
        </w:rPr>
        <w:t>. Selain  itu,  Penghulu  juga  berkedudukan  sebagai  Ninik  Mamak  dalam  suku atau kaumnya. Adapun menurut hukum adat  Minangkabau seseorang dilarang kawin dengan suku yang sama disebabkan karena garis keturunan di Minangkabau dilihat berdasarkan garis keturunan ibu, adapun terkait sistem perkawinannya menggunakan  sistem  eksogami  matrilokal  atau  eksogami  matrilineal,  yaitu suatu  sistem  yang  memperbolehkan  seseorang  menikah  dengan  orang  yang memiliki  suku  yang  berbeda  dengannya,  sehingga  memberikan  pengaruh yang kuat untuk keturunannya kelak</w:t>
      </w:r>
      <w:r w:rsidRPr="00AF3AC9">
        <w:rPr>
          <w:rFonts w:ascii="Garamond" w:hAnsi="Garamond"/>
        </w:rPr>
        <w:fldChar w:fldCharType="begin" w:fldLock="1"/>
      </w:r>
      <w:r w:rsidR="00D64370">
        <w:rPr>
          <w:rFonts w:ascii="Garamond" w:hAnsi="Garamond"/>
        </w:rPr>
        <w:instrText>ADDIN CSL_CITATION {"citationItems":[{"id":"ITEM-1","itemData":{"abstract":"Kembali ke Nagari and Kembali ke Sistem Pemerintahan Nagari (literally means Back to the Nagari and Back to the governmental system of Nagari) are genuine needs of local society of Minang Kabau in West Sumatera Province. However, the implementation is not as easy as it sounds. Various problems might be encountered, such as ambiguity and dualism dealing with governmental concept whether local (adat) format or national one. This paper basically deals with the debate both in term of concept and reality upon the reimplementation of the governmental system of Nagari. On one hand, nagari is the smallest form of national governmental system. On the other hand, sociohistorically, nagari is a 'mini' republic which is governed by the rules of adat. Therefore, an integrative combination for the format of governmental system of Nagari should be carefully formulated. Kata kunci: pemerintahan, nagari, format, negara.","author":[{"dropping-particle":"","family":"Afwadi","given":"","non-dropping-particle":"","parse-names":false,"suffix":""}],"container-title":"JURIS","id":"ITEM-1","issued":{"date-parts":[["2010"]]},"title":"PENYELENGGARAAN PEMERINTAHAN NAGARI: ANTARA FORMAT ADAT ATAU FORMAT NEGARA","type":"article-journal"},"uris":["http://www.mendeley.com/documents/?uuid=85eaa8dc-7771-4afd-8b58-a80f52fb76bf","http://www.mendeley.com/documents/?uuid=5060f8c5-2fba-46be-9af5-a7e1c135598a"]}],"mendeley":{"formattedCitation":"(Afwadi 2010)","plainTextFormattedCitation":"(Afwadi 2010)","previouslyFormattedCitation":"(Afwadi, 2010)"},"properties":{"noteIndex":0},"schema":"https://github.com/citation-style-language/schema/raw/master/csl-citation.json"}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(Afwadi 2010)</w:t>
      </w:r>
      <w:r w:rsidRPr="00AF3AC9">
        <w:rPr>
          <w:rFonts w:ascii="Garamond" w:hAnsi="Garamond"/>
        </w:rPr>
        <w:fldChar w:fldCharType="end"/>
      </w:r>
      <w:r w:rsidRPr="00AF3AC9">
        <w:rPr>
          <w:rFonts w:ascii="Garamond" w:hAnsi="Garamond"/>
        </w:rPr>
        <w:t>.</w:t>
      </w:r>
    </w:p>
    <w:p w14:paraId="7EBFC8BB" w14:textId="306070A0" w:rsidR="00AF3AC9" w:rsidRPr="00AF3AC9" w:rsidRDefault="00AF3AC9" w:rsidP="00AF3AC9">
      <w:pPr>
        <w:spacing w:after="0" w:line="240" w:lineRule="auto"/>
        <w:ind w:firstLine="360"/>
        <w:jc w:val="both"/>
        <w:rPr>
          <w:rFonts w:ascii="Garamond" w:hAnsi="Garamond"/>
        </w:rPr>
      </w:pPr>
      <w:r w:rsidRPr="00AF3AC9">
        <w:rPr>
          <w:rFonts w:ascii="Garamond" w:hAnsi="Garamond"/>
        </w:rPr>
        <w:t xml:space="preserve">Dalam melaksanakan kehidupan manusia harus menerima diri dan realita hidup, hal ini sejalan dengan konseling realita, seseorang dikatakan kurang menerima dirinya salah satu penyebabnya yaitu kurang percaya akan diri atau rendah diri dan menolak kenyataan atau realita. Disinilah dapat dilihat titik temu dalam menggunaan konseling realita terhadap penerimaan diri terhadap larangan pernikahan sesuku. Semakin seseorang menerima dirinya, maka akan semakin baik pula penyesuaian diri dan sosial dengan masyarakat </w:t>
      </w:r>
      <w:r w:rsidRPr="00AF3AC9">
        <w:rPr>
          <w:rFonts w:ascii="Garamond" w:hAnsi="Garamond"/>
        </w:rPr>
        <w:fldChar w:fldCharType="begin" w:fldLock="1"/>
      </w:r>
      <w:r w:rsidR="00D64370">
        <w:rPr>
          <w:rFonts w:ascii="Garamond" w:hAnsi="Garamond"/>
        </w:rPr>
        <w:instrText>ADDIN CSL_CITATION {"citationItems":[{"id":"ITEM-1","itemData":{"DOI":"10.37905/jjll.v1i1.6921","abstract":"Penelitian ini mengangkat permasalahan, (1) bagaimana pertentangan hukum adat dan hukum Islam di Minang Kabau dalam novel Mencari Cinta yang Hilang karya Abdulkarim Khiaratullah? (2) apa penyebab hukum adat melarang menikah sesama suku di Minangkabau. (3) bagaimana jalan keluar yang akan ditempuh jika terjadi pernikahan sesama suku di Minangkabau?. Teori yang digunakan yakni teori sosiologi sastra. Metode yang digunakan dalam penelitian ini yakni metode deskriptif analitis. Adapun teknik pengumpulan data dalam penelitian ini menggunakan teknik kepustakaan. Setelah dilakukan analisis data diperoleh hasil penelitian berikut: (1) pertentangan hukum adat dan hukum Islam di Minang Kabau dalam novel Mencari Cinta yang Hilang karya Abdulkarim Khiaratullah yakni tentang larang pernikahan sesama suku (2) penyebab hukum adat melarang menikah sesama suku di Minangkabau yakni jiak satu suku dianggap berasal dari satu keturunan yang juga berarti satu darah, sehingga menikah sesuku dianggap menikah sedarah. (3) jalan keluar yang akan ditempuh jika terjadi pernikahan sesama suku di Minangkabau. Diwajibkan membayar denda karena telah melakukan pelanggaran adat, atau harus memilih jalan yang paling aman yakni membtalkan pertunangan","author":[{"dropping-particle":"","family":"Alade","given":"Salman","non-dropping-particle":"","parse-names":false,"suffix":""}],"container-title":"Jambura Journal of Linguistics and Literature","id":"ITEM-1","issued":{"date-parts":[["2020"]]},"title":"PERTENTANGAN HUKUM ADAT DAN HUKUM ISLAM DI MINANGKABAU DALAM NOVEL MENCARI CINTA YANG HILANG KARYA ABDULKARIM KHIARATULLAH (TINJAUAN SOSIOLOGI SASTRA)","type":"article-journal"},"uris":["http://www.mendeley.com/documents/?uuid=3cdccb17-b27f-4844-9062-4a09c143e963","http://www.mendeley.com/documents/?uuid=e5b4ddde-895a-4111-9785-373aaebb1b85"]}],"mendeley":{"formattedCitation":"(Alade 2020)","plainTextFormattedCitation":"(Alade 2020)","previouslyFormattedCitation":"(Alade, 2020)"},"properties":{"noteIndex":0},"schema":"https://github.com/citation-style-language/schema/raw/master/csl-citation.json"}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(Alade 2020)</w:t>
      </w:r>
      <w:r w:rsidRPr="00AF3AC9">
        <w:rPr>
          <w:rFonts w:ascii="Garamond" w:hAnsi="Garamond"/>
        </w:rPr>
        <w:fldChar w:fldCharType="end"/>
      </w:r>
      <w:r w:rsidRPr="00AF3AC9">
        <w:rPr>
          <w:rFonts w:ascii="Garamond" w:hAnsi="Garamond"/>
        </w:rPr>
        <w:t>. Sedangkan  perkawinan  yang  dilakukan  di  luar  suku  menjadi  syarat mutlak diperbolehkannya seseorang melangsungkan perkawinan, yang mana syarat perkawinan itu telah diatur dalam Undang-undang adat Minangkanbau pada bagian adat nan ampek, yaitu pada bagian adat nan babuhua mati, yang dalam  hal  ini  menegaskan  bahwa  semua  ketentuan  dan  hukum  adat  yang berlaku  tidak  dapat  diubah-ubah. Seperti  perkawinan  sesuku  yang  sudah bersifat turun temurun dan disebut juga sebagai keluarga sakampuang (sekampung)  atau  suatu  kelompok  orang  yang  berkumpul  dalam  beberapa rumah gadang dengan satu keturunan atau satu nenek moyang, sehingga hal ini menciptakan pendapat bahwa perkawinan sesuku merupakan perkawinan dengan saudara sendiri.</w:t>
      </w:r>
    </w:p>
    <w:p w14:paraId="1E84B46F" w14:textId="146FCFA8" w:rsidR="00AF3AC9" w:rsidRPr="00AF3AC9" w:rsidRDefault="00AF3AC9" w:rsidP="00AF3AC9">
      <w:pPr>
        <w:spacing w:after="0" w:line="240" w:lineRule="auto"/>
        <w:ind w:firstLine="360"/>
        <w:jc w:val="both"/>
        <w:rPr>
          <w:rFonts w:ascii="Garamond" w:hAnsi="Garamond"/>
        </w:rPr>
      </w:pPr>
      <w:r w:rsidRPr="00AF3AC9">
        <w:rPr>
          <w:rFonts w:ascii="Garamond" w:hAnsi="Garamond"/>
        </w:rPr>
        <w:t>Begitu juga adat istadat yang berlaku di</w:t>
      </w:r>
      <w:r w:rsidRPr="00AF3AC9">
        <w:rPr>
          <w:rFonts w:ascii="Garamond" w:hAnsi="Garamond"/>
          <w:lang w:val="id-ID"/>
        </w:rPr>
        <w:t xml:space="preserve"> Minangkabau</w:t>
      </w:r>
      <w:r w:rsidRPr="00AF3AC9">
        <w:rPr>
          <w:rFonts w:ascii="Garamond" w:hAnsi="Garamond"/>
        </w:rPr>
        <w:t xml:space="preserve">, dimana dalam  memahami  perkawinan  sesuku,  aturan  adat  </w:t>
      </w:r>
      <w:r w:rsidRPr="00AF3AC9">
        <w:rPr>
          <w:rFonts w:ascii="Garamond" w:hAnsi="Garamond"/>
          <w:lang w:val="id-ID"/>
        </w:rPr>
        <w:t>Minangkabau</w:t>
      </w:r>
      <w:r w:rsidRPr="00AF3AC9">
        <w:rPr>
          <w:rFonts w:ascii="Garamond" w:hAnsi="Garamond"/>
        </w:rPr>
        <w:t xml:space="preserve"> yang  dipimpin  oleh  Penghulu  atau  lembaga  adat  hanya  melarang perkawinan  sesuku  yang  terdapat  dalam  Nagari  yang  sama,  sedangkan  jika perkawinan sesuku yang berbeda Nagari diperbolehkan namun tetap menjadi perhatian dan pertimbangan Penghulu dalam memutuskannya.  Karena pada hakikatnya  setiap  Penghulu  memiliki  peran  aktif  dalam  menjaga  keluarga, kemenakan  dan  anggota  kaumnya  salah  satu  peran  atau  usaha  yang  dapat dilakukan oleh Penghulu dalam menjaga dan mengatasi agar tidak terjadinya perkawinan sesuku tersebut adalah dengan cara memberikan pembinaan dan nasehat serta pzengembangan nilai-nilai adat kepada keluarga, kemanakan dan anggota kaumnya. Adapun yang menjadi salah satu alasan tidak diperbolehkannya perkawinan sesuku, karena masyarakat di </w:t>
      </w:r>
      <w:r w:rsidRPr="00AF3AC9">
        <w:rPr>
          <w:rFonts w:ascii="Garamond" w:hAnsi="Garamond"/>
          <w:lang w:val="id-ID"/>
        </w:rPr>
        <w:t xml:space="preserve">Minangkabau </w:t>
      </w:r>
      <w:r w:rsidRPr="00AF3AC9">
        <w:rPr>
          <w:rFonts w:ascii="Garamond" w:hAnsi="Garamond"/>
        </w:rPr>
        <w:t xml:space="preserve">berpandangan bahwa hubungan  sesuku  merupakan  hubungan  keluarga  dan  jika  ini  dilanggar tentunya akan bertentangan dan tidak sesuai dengan apa yang telah diatur oleh hukum adat serta ini akan mencerminkan posisi dan keberadaan hukum adat dewasa ini yang semakin melemah </w:t>
      </w:r>
      <w:r w:rsidRPr="00AF3AC9">
        <w:rPr>
          <w:rFonts w:ascii="Garamond" w:hAnsi="Garamond"/>
        </w:rPr>
        <w:fldChar w:fldCharType="begin" w:fldLock="1"/>
      </w:r>
      <w:r w:rsidR="00D64370">
        <w:rPr>
          <w:rFonts w:ascii="Garamond" w:hAnsi="Garamond"/>
        </w:rPr>
        <w:instrText>ADDIN CSL_CITATION {"citationItems":[{"id":"ITEM-1","itemData":{"ISBN":"0762-915X","abstract":"Minangkabau merupakan salah satu kelompok etnis terbesar di Indonesia. Adat Minangkabau memiliki nilai- nilai kesetaraan dan keadilan gender. Pria dan wanita berdasarkan status dan fungsi yang diberikan hak, kewajiban dan tanggung jawab dalam proporsi.Konseling Eksistensial Humanistik merupakan salah satu teori konseling yang bertujuan agar konseli menyadari keberadaannya secara otentik sehingga mampu membuka diri dan bertindak sesuai kemampuannya. Konseling eksistensial humanistik berbasis budaya minangkabau diharapkan mampu untuk meningkatkan self esteem pada remaja terutama remaja putri tanpa memandang perbedaan gender. Kata","author":[{"dropping-particle":"","family":"Amalia","given":"Rizki","non-dropping-particle":"","parse-names":false,"suffix":""}],"container-title":"Jurnal Bimbingan Konseling Ar-Rahman","id":"ITEM-1","issued":{"date-parts":[["2016"]]},"title":"Penerapan Konseling Eksistensial Humanistik Berbasis Nilai Budaya Minangkabau dalam Kesetaraan Gender untuk Meningkatkan Self-Esteem Pada Remaja Putri","type":"article-journal"},"uris":["http://www.mendeley.com/documents/?uuid=14369ca5-a4cb-43f7-b70e-b2950f9b7726"]}],"mendeley":{"formattedCitation":"(Amalia 2016)","plainTextFormattedCitation":"(Amalia 2016)","previouslyFormattedCitation":"(Amalia, 2016)"},"properties":{"noteIndex":0},"schema":"https://github.com/citation-style-language/schema/raw/master/csl-citation.json"}</w:instrText>
      </w:r>
      <w:r w:rsidRPr="00AF3AC9">
        <w:rPr>
          <w:rFonts w:ascii="Garamond" w:hAnsi="Garamond"/>
        </w:rPr>
        <w:fldChar w:fldCharType="separate"/>
      </w:r>
      <w:r w:rsidR="00D64370" w:rsidRPr="00D64370">
        <w:rPr>
          <w:rFonts w:ascii="Garamond" w:hAnsi="Garamond"/>
          <w:noProof/>
        </w:rPr>
        <w:t>(Amalia 2016)</w:t>
      </w:r>
      <w:r w:rsidRPr="00AF3AC9">
        <w:rPr>
          <w:rFonts w:ascii="Garamond" w:hAnsi="Garamond"/>
        </w:rPr>
        <w:fldChar w:fldCharType="end"/>
      </w:r>
      <w:r w:rsidRPr="00AF3AC9">
        <w:rPr>
          <w:rFonts w:ascii="Garamond" w:hAnsi="Garamond"/>
        </w:rPr>
        <w:t xml:space="preserve">. Dalam adat </w:t>
      </w:r>
      <w:r w:rsidRPr="00AF3AC9">
        <w:rPr>
          <w:rFonts w:ascii="Garamond" w:hAnsi="Garamond"/>
          <w:lang w:val="id-ID"/>
        </w:rPr>
        <w:t xml:space="preserve">Minangkabau </w:t>
      </w:r>
      <w:r w:rsidRPr="00AF3AC9">
        <w:rPr>
          <w:rFonts w:ascii="Garamond" w:hAnsi="Garamond"/>
        </w:rPr>
        <w:t>ganjarannya oleh Penghulu Adat harus keluar dari Nagari tersebut selama 2 (dua) tahun.</w:t>
      </w:r>
    </w:p>
    <w:p w14:paraId="6B433730" w14:textId="231FE474" w:rsidR="00AF3AC9" w:rsidRPr="00AF3AC9" w:rsidRDefault="00AF3AC9" w:rsidP="00AF3AC9">
      <w:pPr>
        <w:pStyle w:val="BodyText"/>
        <w:spacing w:line="240" w:lineRule="auto"/>
        <w:rPr>
          <w:szCs w:val="22"/>
        </w:rPr>
      </w:pPr>
      <w:r w:rsidRPr="00AF3AC9">
        <w:rPr>
          <w:rFonts w:ascii="Garamond" w:hAnsi="Garamond"/>
          <w:szCs w:val="22"/>
        </w:rPr>
        <w:lastRenderedPageBreak/>
        <w:t>Berdasarkan pada signifikasi pemberlakuan perkawinan sesuku dengan Nagari yang berbeda bermanfaat untuk diterapkan terutama bagi mereka yang memiliki hubungan kekerabatan jauh namun terikat dengan suku yang sama agar dapat  menikah dan menghindari perbuatan zina, karena itulah peneliti tertarik untuk membahas judul penelitian tentang penerimaan diri dengan konseling realita terhadap larangan perkawinan sesuku dalam budaya Minangkabau.  Manfaat  penelitian  ini  untuk  mempertegas  kembali  apa  penyebab tidak diperbolehkannya  perkawinan  sesuku  serta  bagaimana  penerimaan diri terhadap larangan perkawinan sesuku</w:t>
      </w:r>
      <w:r>
        <w:rPr>
          <w:rFonts w:ascii="Garamond" w:hAnsi="Garamond"/>
          <w:szCs w:val="22"/>
        </w:rPr>
        <w:t>.</w:t>
      </w:r>
    </w:p>
    <w:p w14:paraId="470BB975" w14:textId="0F68A228" w:rsidR="00CC13C0" w:rsidRPr="00802875" w:rsidRDefault="00ED61F6" w:rsidP="00331DAF">
      <w:pPr>
        <w:pStyle w:val="Heading1"/>
        <w:spacing w:before="0"/>
        <w:rPr>
          <w:b w:val="0"/>
          <w:i/>
          <w:sz w:val="22"/>
          <w:szCs w:val="22"/>
        </w:rPr>
      </w:pPr>
      <w:r w:rsidRPr="00802875">
        <w:rPr>
          <w:sz w:val="22"/>
          <w:szCs w:val="22"/>
          <w:lang w:val="id-ID"/>
        </w:rPr>
        <w:t>Method</w:t>
      </w:r>
      <w:r w:rsidR="00FA3FDB" w:rsidRPr="00802875">
        <w:rPr>
          <w:sz w:val="22"/>
          <w:szCs w:val="22"/>
          <w:lang w:val="en-GB"/>
        </w:rPr>
        <w:t xml:space="preserve"> </w:t>
      </w:r>
    </w:p>
    <w:p w14:paraId="36A962C3" w14:textId="0C85F130" w:rsidR="00AF3AC9" w:rsidRPr="00D64370" w:rsidRDefault="00AF3AC9" w:rsidP="00D64370">
      <w:pPr>
        <w:spacing w:after="0" w:line="240" w:lineRule="auto"/>
        <w:ind w:firstLine="450"/>
        <w:jc w:val="both"/>
        <w:rPr>
          <w:rFonts w:ascii="Garamond" w:hAnsi="Garamond"/>
        </w:rPr>
      </w:pPr>
      <w:r w:rsidRPr="00D64370">
        <w:rPr>
          <w:rFonts w:ascii="Garamond" w:eastAsia="Arial Unicode MS" w:hAnsi="Garamond" w:cs="Arial"/>
        </w:rPr>
        <w:t xml:space="preserve">Bagian ini memuat jalannya penelitian yang secara spesifik digunakan dalam penelitian. Alur kerja yang sederhana tidak perlu dibuat skema. Cara kerja yang sudah umum tidak perlu dijelaskan secara detail. Langkah penelitian yang panjang dapat dibuat dalam sub sub bab tahapan-tahapan penelitian dengan menggunakan numbering angka arab. Metode analisis data yang baru harus dijelaskan secara detail beserta rumus-rumusnya (persamaan). Jika naskah mengandung persamaan lebih dari 3, harus diberi nomor persamaan </w:t>
      </w:r>
      <w:r w:rsidRPr="00D64370">
        <w:rPr>
          <w:rFonts w:ascii="Garamond" w:eastAsia="Arial Unicode MS" w:hAnsi="Garamond" w:cs="Arial"/>
        </w:rPr>
        <w:fldChar w:fldCharType="begin" w:fldLock="1"/>
      </w:r>
      <w:r w:rsidR="00D64370">
        <w:rPr>
          <w:rFonts w:ascii="Garamond" w:eastAsia="Arial Unicode MS" w:hAnsi="Garamond" w:cs="Arial"/>
        </w:rPr>
        <w:instrText>ADDIN CSL_CITATION {"citationItems":[{"id":"ITEM-1","itemData":{"abstract":"Kajian pustaka bagi seorang peneliti sangat penting dalam mencari tempat untuk berpijak yang kokoh sehingga acuan-acuan yang digunakan dalam penelitian sesuai dengan bidang yang hendak dikaji. Kajian pustaka di samping membekali peneliti dengan landasan yang diinginkan, juga mencerminkan kedalaman teori yang terlibat dalam penelitian. Jadi kedudukan kajian pustaka dalam penelitian menempati peranan yang strategis karena dia merefleksikan kadar keilmiahan suatu penelitian. Kajian pustaka memuat berbagai sumber yang diacu dan telah disajikan secara komprehensif serta membahas kesimpulan-kesimpulannya untuk selanjutnya dengan uraian peneliti sendiri sampai pada kesimpulan berdasarkan hasil-hasil penelitian orang lain. Dengan demikian dalam sajian pustaka seorang peneliti bukan sekedar menjadi “compiler”, tetapi ia harus bertindak sebagai “analytical and critical thinker”, sehingga dia akan mampu melebur berbagai konsep dalam acuan tersebut untuk diramu dengan analisis data menjadi suatu teori yang partly modified or fully modified.","author":[{"dropping-particle":"","family":"Karuru","given":"Perdy","non-dropping-particle":"","parse-names":false,"suffix":""}],"container-title":"Jurnal Keguruan Dan Ilmu Pendidikan","id":"ITEM-1","issued":{"date-parts":[["2013"]]},"title":"Pentingya Kajian Pustaka Dalam Penelitian","type":"article-journal"},"uris":["http://www.mendeley.com/documents/?uuid=7bf60911-5d14-497e-a51e-d185ac5c743d","http://www.mendeley.com/documents/?uuid=a454cd77-078c-430c-8b03-4878900996c2"]}],"mendeley":{"formattedCitation":"(Karuru 2013)","plainTextFormattedCitation":"(Karuru 2013)","previouslyFormattedCitation":"(Karuru, 2013)"},"properties":{"noteIndex":0},"schema":"https://github.com/citation-style-language/schema/raw/master/csl-citation.json"}</w:instrText>
      </w:r>
      <w:r w:rsidRPr="00D64370">
        <w:rPr>
          <w:rFonts w:ascii="Garamond" w:eastAsia="Arial Unicode MS" w:hAnsi="Garamond" w:cs="Arial"/>
        </w:rPr>
        <w:fldChar w:fldCharType="separate"/>
      </w:r>
      <w:r w:rsidR="00D64370" w:rsidRPr="00D64370">
        <w:rPr>
          <w:rFonts w:ascii="Garamond" w:eastAsia="Arial Unicode MS" w:hAnsi="Garamond" w:cs="Arial"/>
          <w:noProof/>
        </w:rPr>
        <w:t>(Karuru 2013)</w:t>
      </w:r>
      <w:r w:rsidRPr="00D64370">
        <w:rPr>
          <w:rFonts w:ascii="Garamond" w:eastAsia="Arial Unicode MS" w:hAnsi="Garamond" w:cs="Arial"/>
        </w:rPr>
        <w:fldChar w:fldCharType="end"/>
      </w:r>
      <w:r w:rsidRPr="00D64370">
        <w:rPr>
          <w:rFonts w:ascii="Garamond" w:eastAsia="Arial Unicode MS" w:hAnsi="Garamond" w:cs="Arial"/>
        </w:rPr>
        <w:t>.</w:t>
      </w:r>
      <w:r w:rsidRPr="00D64370">
        <w:rPr>
          <w:rFonts w:ascii="Garamond" w:hAnsi="Garamond"/>
        </w:rPr>
        <w:t xml:space="preserve"> Jenis penelitian ini adalah deskritif analitis. Teknik pengumpulan data dalam penelitian ini menggunakan teknik kepustakaan. Disebut penelitian kepustakaan karena data-data atau bahan yang diperlukan dalam menyelesaikan penelitian ini bersumber dari perpustakaan baik berupa buku, jurnal, kamus, ensklopedia, majalah dan lainnya </w:t>
      </w:r>
      <w:r w:rsidRPr="00D64370">
        <w:rPr>
          <w:rFonts w:ascii="Garamond" w:hAnsi="Garamond"/>
        </w:rPr>
        <w:fldChar w:fldCharType="begin" w:fldLock="1"/>
      </w:r>
      <w:r w:rsidR="00D64370">
        <w:rPr>
          <w:rFonts w:ascii="Garamond" w:hAnsi="Garamond"/>
        </w:rPr>
        <w:instrText>ADDIN CSL_CITATION {"citationItems":[{"id":"ITEM-1","itemData":{"abstract":"Kajian pustaka merupakan daftar referensi dari semua jenis referensi seperti buku, jurnal papers, artikel, disertasi, tesis, skripsi, hand outs, laboratory manuals, dan karya ilmiah lainnya yang dikutip di dalam penulisan proposal. Semua referensi yang tertulis dalam kajian pustaka harus dirujuk di dalamnya. Referensi ditulis urut menurut abjad huruf awal dari nama akhir/keluarga penulis pertama dan tahun penerbitan (yang terbaru ditulis lebih dahulu).","author":[{"dropping-particle":"","family":"Huda","given":"Fatkhan Amirul","non-dropping-particle":"","parse-names":false,"suffix":""}],"container-title":"http://fatkhan.web.id/","id":"ITEM-1","issued":{"date-parts":[["2017"]]},"title":"Pengertian dan Definisi Kajian Pustaka","type":"webpage"},"uris":["http://www.mendeley.com/documents/?uuid=dc9d9f83-a192-4023-ae79-1cc3cb7d81cd","http://www.mendeley.com/documents/?uuid=fdc9f203-7950-4fce-80a2-1a02f6eba6d3"]}],"mendeley":{"formattedCitation":"(Huda 2017)","plainTextFormattedCitation":"(Huda 2017)","previouslyFormattedCitation":"(Huda, 2017)"},"properties":{"noteIndex":0},"schema":"https://github.com/citation-style-language/schema/raw/master/csl-citation.json"}</w:instrText>
      </w:r>
      <w:r w:rsidRPr="00D64370">
        <w:rPr>
          <w:rFonts w:ascii="Garamond" w:hAnsi="Garamond"/>
        </w:rPr>
        <w:fldChar w:fldCharType="separate"/>
      </w:r>
      <w:r w:rsidR="00D64370" w:rsidRPr="00D64370">
        <w:rPr>
          <w:rFonts w:ascii="Garamond" w:hAnsi="Garamond"/>
          <w:noProof/>
        </w:rPr>
        <w:t>(Huda 2017)</w:t>
      </w:r>
      <w:r w:rsidRPr="00D64370">
        <w:rPr>
          <w:rFonts w:ascii="Garamond" w:hAnsi="Garamond"/>
        </w:rPr>
        <w:fldChar w:fldCharType="end"/>
      </w:r>
      <w:r w:rsidRPr="00D64370">
        <w:rPr>
          <w:rFonts w:ascii="Garamond" w:hAnsi="Garamond"/>
        </w:rPr>
        <w:t>. Dalam penelitian ini juga peneliti menggunakan tata kerja perpustakaan untuk mengakses dan memperoleh bahan-bahan serta penelitian lainnya yang relevan dengan penelitian ini.</w:t>
      </w:r>
    </w:p>
    <w:p w14:paraId="1B3EA291" w14:textId="5910F72C" w:rsidR="00AF3AC9" w:rsidRPr="00D64370" w:rsidRDefault="00AF3AC9" w:rsidP="00D64370">
      <w:pPr>
        <w:spacing w:after="0" w:line="240" w:lineRule="auto"/>
        <w:ind w:firstLine="450"/>
        <w:jc w:val="both"/>
        <w:rPr>
          <w:rFonts w:ascii="Garamond" w:hAnsi="Garamond"/>
        </w:rPr>
      </w:pPr>
      <w:r w:rsidRPr="00D64370">
        <w:rPr>
          <w:rFonts w:ascii="Garamond" w:hAnsi="Garamond"/>
        </w:rPr>
        <w:t xml:space="preserve">Sumber data dalam penelitian ini adalah buku, jurnal ilmiah, dokumen, majalah, peraturan perundang-undangan dan hasil-hasil penelitian relevan yang diakses melalui perpustakaan maupun melalui open journal search sistem via internet. Proses pengumpulan data dilakukan dengan mengelompokkan data sesuai dengan permasalahan yang kemudian di organisasikan secara sistematis. Analisis data dilakukan dengan teknik analisis isi (conten analysis) dalam rangka memperoleh teori-teori atau konsep dan hasil penelitian yang mampu menjawab masalah dalam penelitian ini </w:t>
      </w:r>
      <w:r w:rsidRPr="00D64370">
        <w:rPr>
          <w:rFonts w:ascii="Garamond" w:hAnsi="Garamond"/>
        </w:rPr>
        <w:fldChar w:fldCharType="begin" w:fldLock="1"/>
      </w:r>
      <w:r w:rsidR="00D64370">
        <w:rPr>
          <w:rFonts w:ascii="Garamond" w:hAnsi="Garamond"/>
        </w:rPr>
        <w:instrText>ADDIN CSL_CITATION {"citationItems":[{"id":"ITEM-1","itemData":{"abstract":"Abstrak Kajian pustaka (literature review) merupakan salah satu aspek penting yang menentukan kualitas suatu penelitian. Di samping memberikan landasan yang kokoh bagi dilakukannya penelitian, kajian pustaka juga dapat membantu peneliti memilih perspektif teoretis (theoretical perspective) untuk melihat dan menganalisis fenomena di lapangan serta memaknai hasil analisis tersebut. Namun demikian, masih banyak peneliti, khususnya mahasiswa, yang belum memahami secara benar hakikat kajian pustaka tersebut, sehingga penelitian yang mereka lakukan belum mencapai tataran mutu yang seharusnya. Melalui tulisan ini, saya bermaksud memberikan penjelasan tentang kajian pustaka dalam penelitian kualitatif. Secara khusus, saya akan mengkaji topik tersebut dari lima aspek, yaitu konsep, jenis, manfaat, posisi, dan prosedur kajian pustaka. Diharapkan penjelasan tersebut dapat meningkatkan pemahaman mahasiswa tentang hakikat dan pentingnya kajian pustaka dalam penelitian, yang akan dapat membuat penelitan mereka semakin berkualitas.","author":[{"dropping-particle":"","family":"Nurkamto","given":"Joko","non-dropping-particle":"","parse-names":false,"suffix":""}],"container-title":"Bahan ajar bahasa dan sastra di era milenial","id":"ITEM-1","issued":{"date-parts":[["2020"]]},"title":"KAJIAN PUSTAKA DALAM PENELITIAN KUALITATIF 1","type":"book"},"uris":["http://www.mendeley.com/documents/?uuid=ba252f5e-3afb-4dad-94d9-656156777c6f"]}],"mendeley":{"formattedCitation":"(Nurkamto 2020)","plainTextFormattedCitation":"(Nurkamto 2020)","previouslyFormattedCitation":"(Nurkamto, 2020)"},"properties":{"noteIndex":0},"schema":"https://github.com/citation-style-language/schema/raw/master/csl-citation.json"}</w:instrText>
      </w:r>
      <w:r w:rsidRPr="00D64370">
        <w:rPr>
          <w:rFonts w:ascii="Garamond" w:hAnsi="Garamond"/>
        </w:rPr>
        <w:fldChar w:fldCharType="separate"/>
      </w:r>
      <w:r w:rsidR="00D64370" w:rsidRPr="00D64370">
        <w:rPr>
          <w:rFonts w:ascii="Garamond" w:hAnsi="Garamond"/>
          <w:noProof/>
        </w:rPr>
        <w:t>(Nurkamto 2020)</w:t>
      </w:r>
      <w:r w:rsidRPr="00D64370">
        <w:rPr>
          <w:rFonts w:ascii="Garamond" w:hAnsi="Garamond"/>
        </w:rPr>
        <w:fldChar w:fldCharType="end"/>
      </w:r>
      <w:r w:rsidRPr="00D64370">
        <w:rPr>
          <w:rFonts w:ascii="Garamond" w:hAnsi="Garamond"/>
        </w:rPr>
        <w:t>.</w:t>
      </w:r>
    </w:p>
    <w:p w14:paraId="2F258BF7" w14:textId="77777777" w:rsidR="00AF3AC9" w:rsidRDefault="00AF3AC9" w:rsidP="000D6A1D">
      <w:pPr>
        <w:pStyle w:val="BodyText"/>
        <w:rPr>
          <w:lang w:val="id-ID"/>
        </w:rPr>
      </w:pPr>
    </w:p>
    <w:p w14:paraId="0C0BDCF1" w14:textId="77777777" w:rsidR="00ED61F6" w:rsidRPr="00802875" w:rsidRDefault="00ED61F6" w:rsidP="006E07B2">
      <w:pPr>
        <w:pStyle w:val="Heading1"/>
        <w:numPr>
          <w:ilvl w:val="0"/>
          <w:numId w:val="10"/>
        </w:numPr>
        <w:rPr>
          <w:sz w:val="22"/>
          <w:szCs w:val="22"/>
        </w:rPr>
      </w:pPr>
      <w:r w:rsidRPr="00802875">
        <w:rPr>
          <w:sz w:val="22"/>
          <w:szCs w:val="22"/>
          <w:lang w:val="id-ID"/>
        </w:rPr>
        <w:t>Results and Discussion</w:t>
      </w:r>
    </w:p>
    <w:p w14:paraId="3E27D2FB" w14:textId="660CF34B" w:rsidR="00ED61F6" w:rsidRPr="00802875" w:rsidRDefault="00D64370" w:rsidP="00802875">
      <w:pPr>
        <w:pStyle w:val="Heading2"/>
      </w:pPr>
      <w:r w:rsidRPr="00D64370">
        <w:t>Larangan perkawianan sesuku</w:t>
      </w:r>
    </w:p>
    <w:p w14:paraId="632F1731" w14:textId="568869E1" w:rsidR="00D64370" w:rsidRDefault="00D64370" w:rsidP="00D64370">
      <w:pPr>
        <w:tabs>
          <w:tab w:val="left" w:pos="0"/>
          <w:tab w:val="left" w:pos="284"/>
          <w:tab w:val="left" w:pos="851"/>
        </w:tabs>
        <w:spacing w:line="240" w:lineRule="auto"/>
        <w:jc w:val="both"/>
        <w:rPr>
          <w:rFonts w:ascii="Garamond" w:hAnsi="Garamond" w:cs="Arial"/>
        </w:rPr>
      </w:pPr>
      <w:r>
        <w:rPr>
          <w:rFonts w:ascii="Garamond" w:hAnsi="Garamond" w:cs="Arial"/>
        </w:rPr>
        <w:tab/>
      </w:r>
      <w:r w:rsidRPr="00D64370">
        <w:rPr>
          <w:rFonts w:ascii="Garamond" w:hAnsi="Garamond" w:cs="Arial"/>
        </w:rPr>
        <w:t xml:space="preserve">Perkawinan sesuku ini selama buya mengaji memang belum ada bertemu dalam kitab, tapi menurut buya tentang penerapan peraturan ini juga tidak berlawanan dengan ajaran Islam, sehingga hukum penerapan aturan ini menurut buya boleh saja. Karena memang bertemu di negeri kita ini kekuatan orang terhadap adat terlihat betul, sehingga akan lebih marah dia apabila dikatakan tidak beradat dari pada ditegur karena tidak shalat </w:t>
      </w:r>
      <w:r w:rsidRPr="00D64370">
        <w:rPr>
          <w:rFonts w:ascii="Garamond" w:hAnsi="Garamond" w:cs="Arial"/>
        </w:rPr>
        <w:fldChar w:fldCharType="begin" w:fldLock="1"/>
      </w:r>
      <w:r>
        <w:rPr>
          <w:rFonts w:ascii="Garamond" w:hAnsi="Garamond" w:cs="Arial"/>
        </w:rPr>
        <w:instrText>ADDIN CSL_CITATION {"citationItems":[{"id":"ITEM-1","itemData":{"DOI":"10.29240/jhi.v5i2.1525","ISSN":"2548-3374","abstract":"… and describe the implementation of customary sanctions regarding the prohibition of marriage against people of the same ethnicity as adulterers and to analyze the views of Islamic law …","author":[{"dropping-particle":"","family":"Rahmi","given":"Nailur","non-dropping-particle":"","parse-names":false,"suffix":""},{"dropping-particle":"","family":"Henny","given":"Rinta Okta","non-dropping-particle":"","parse-names":false,"suffix":""}],"container-title":"Al-Istinbath : Jurnal Hukum Islam","id":"ITEM-1","issued":{"date-parts":[["2020"]]},"title":"Sanksi Adat Tentang Larangan Perkawinan Terhadap Orang Sesuku dengan Pelaku Zina","type":"article-journal"},"uris":["http://www.mendeley.com/documents/?uuid=f61bfb82-b134-49ac-9430-4b7b2481d049","http://www.mendeley.com/documents/?uuid=7d27c482-85e8-471b-8e34-eba3fbe92970"]}],"mendeley":{"formattedCitation":"(Rahmi and Henny 2020)","plainTextFormattedCitation":"(Rahmi and Henny 2020)","previouslyFormattedCitation":"(Rahmi &amp; Henny, 2020)"},"properties":{"noteIndex":0},"schema":"https://github.com/citation-style-language/schema/raw/master/csl-citation.json"}</w:instrText>
      </w:r>
      <w:r w:rsidRPr="00D64370">
        <w:rPr>
          <w:rFonts w:ascii="Garamond" w:hAnsi="Garamond" w:cs="Arial"/>
        </w:rPr>
        <w:fldChar w:fldCharType="separate"/>
      </w:r>
      <w:r w:rsidRPr="00D64370">
        <w:rPr>
          <w:rFonts w:ascii="Garamond" w:hAnsi="Garamond" w:cs="Arial"/>
          <w:noProof/>
        </w:rPr>
        <w:t>(Rahmi and Henny 2020)</w:t>
      </w:r>
      <w:r w:rsidRPr="00D64370">
        <w:rPr>
          <w:rFonts w:ascii="Garamond" w:hAnsi="Garamond" w:cs="Arial"/>
        </w:rPr>
        <w:fldChar w:fldCharType="end"/>
      </w:r>
      <w:r w:rsidRPr="00D64370">
        <w:rPr>
          <w:rFonts w:ascii="Garamond" w:hAnsi="Garamond" w:cs="Arial"/>
        </w:rPr>
        <w:t xml:space="preserve">. </w:t>
      </w:r>
    </w:p>
    <w:p w14:paraId="2D559EA1" w14:textId="4F53399F" w:rsidR="00D64370" w:rsidRPr="00D64370" w:rsidRDefault="00D64370" w:rsidP="00D64370">
      <w:pPr>
        <w:tabs>
          <w:tab w:val="left" w:pos="0"/>
          <w:tab w:val="left" w:pos="284"/>
          <w:tab w:val="left" w:pos="851"/>
        </w:tabs>
        <w:spacing w:line="240" w:lineRule="auto"/>
        <w:jc w:val="both"/>
        <w:rPr>
          <w:rFonts w:ascii="Garamond" w:hAnsi="Garamond" w:cs="Arial"/>
        </w:rPr>
      </w:pPr>
      <w:r>
        <w:rPr>
          <w:rFonts w:ascii="Garamond" w:hAnsi="Garamond" w:cs="Arial"/>
        </w:rPr>
        <w:tab/>
      </w:r>
      <w:r w:rsidRPr="00D64370">
        <w:rPr>
          <w:rFonts w:ascii="Garamond" w:hAnsi="Garamond" w:cs="Arial"/>
        </w:rPr>
        <w:t xml:space="preserve">Perkawinan sesuku ini pada umumnya memiliki akibat hukum yang sama terhadap para pelakunya, yaitu terbuang dari kampung, denda yang nilainya hampir sama, yaitu satu rupiah emas sekalipun berbeda istilah yang dipakai seperti, di Nagari Canduang Koto Laweh denda dengan rupiah emas, sedangkan di Nagari Lasi disebut dengan satu kepala kerbau untuk menjamu orang sepuluh suku, namun disegi nilai tetap sama. Pemberian hukuman inilah yang merupakan penyebab seseorang takut untuk melanggar, namun jika dicermati lebih dalam hukuman yang paling ditakutkan adalah hukuman yang berdampak sosial seperti dikucilkan dari masyarakat </w:t>
      </w:r>
      <w:r w:rsidRPr="00D64370">
        <w:rPr>
          <w:rFonts w:ascii="Garamond" w:hAnsi="Garamond" w:cs="Arial"/>
        </w:rPr>
        <w:fldChar w:fldCharType="begin" w:fldLock="1"/>
      </w:r>
      <w:r>
        <w:rPr>
          <w:rFonts w:ascii="Garamond" w:hAnsi="Garamond" w:cs="Arial"/>
        </w:rPr>
        <w:instrText>ADDIN CSL_CITATION {"citationItems":[{"id":"ITEM-1","itemData":{"abstract":"Intermarriage among one tribe is a model of marriage that is prohibited in custom. This marriage is used in Minangkabau society which almost entirely embraced Islam. However, this ban can survive from the very beginning until now as seen in the present day society. This study aims to find out what is the reason, the form of marriage restriction among citizens in one tribe and its legal consequences to Canduang’s society. In this study the writer uses the analysis of mashlaha in Islamic law for what reason of society’s inhibitions in prohibiting marriage among tribal people; how the form of kemashlahatan ban marriage between tribal people and how the consequences of marriage ban law among tribal people. This study shows that the reason for marriage ban among tribal people in the “canduang” society is a shame factor. This prohibition is used to prove that between one tribe’s relatives must be maintained for being a wider level of unity. Penalties imposed on offenders aimed at preventing fractures in the fraternal system within the tribe and continue to maintain a sil-aturrahmi tie between members of the Canduang community. The prohibition affects the strong sense of unity within the country. Either way, legal conse-quences, and forms of marriage restriction among tribal people are included in one form of mashlahah mursalah","author":[{"dropping-particle":"","family":"Danil","given":"Muhammad","non-dropping-particle":"","parse-names":false,"suffix":""}],"container-title":"Jurnal AL-AHKAM","id":"ITEM-1","issued":{"date-parts":[["2019"]]},"title":"Larangan Perkawinan Sesuku dalam Masyarakat Canduang;(Tinjauan Kemaslahatan dalam Hukum Islam)","type":"article-journal"},"uris":["http://www.mendeley.com/documents/?uuid=21c1273a-a152-40b8-af5d-848af7632ebe","http://www.mendeley.com/documents/?uuid=2ec8bba8-7742-49bb-ae50-00e601ea3b43"]}],"mendeley":{"formattedCitation":"(Danil 2019)","plainTextFormattedCitation":"(Danil 2019)","previouslyFormattedCitation":"(Danil, 2019)"},"properties":{"noteIndex":0},"schema":"https://github.com/citation-style-language/schema/raw/master/csl-citation.json"}</w:instrText>
      </w:r>
      <w:r w:rsidRPr="00D64370">
        <w:rPr>
          <w:rFonts w:ascii="Garamond" w:hAnsi="Garamond" w:cs="Arial"/>
        </w:rPr>
        <w:fldChar w:fldCharType="separate"/>
      </w:r>
      <w:r w:rsidRPr="00D64370">
        <w:rPr>
          <w:rFonts w:ascii="Garamond" w:hAnsi="Garamond" w:cs="Arial"/>
          <w:noProof/>
        </w:rPr>
        <w:t>(Danil 2019)</w:t>
      </w:r>
      <w:r w:rsidRPr="00D64370">
        <w:rPr>
          <w:rFonts w:ascii="Garamond" w:hAnsi="Garamond" w:cs="Arial"/>
        </w:rPr>
        <w:fldChar w:fldCharType="end"/>
      </w:r>
      <w:r w:rsidRPr="00D64370">
        <w:rPr>
          <w:rFonts w:ascii="Garamond" w:hAnsi="Garamond" w:cs="Arial"/>
        </w:rPr>
        <w:t xml:space="preserve">. Sedangkan manfaat atau kebaikan bagi masyarakat Canduang yang terdapat dalam penerapan hukum ini adalah tercegahnya masyarakat Canduang dari sikap saling mengucilkan bahkan merendahkan terhadap seorang pelanggar, karena dengan adanya hukuman ini, maka tidak akan ada yang melakukan pelanggaran serta jika hukuman ini telah dibayarkan. </w:t>
      </w:r>
      <w:r>
        <w:rPr>
          <w:rFonts w:ascii="Garamond" w:hAnsi="Garamond" w:cs="Arial"/>
        </w:rPr>
        <w:t xml:space="preserve"> </w:t>
      </w:r>
      <w:r w:rsidRPr="00D64370">
        <w:rPr>
          <w:rFonts w:ascii="Garamond" w:hAnsi="Garamond"/>
        </w:rPr>
        <w:t xml:space="preserve">“larangan perkawinan sesuku sudah ada semenjak nenek moyang kita dulu baru merintis daerah ini, yang terdiri dari beberapa orang saja. Belum seperti saat ini yang telah berkembang sehingga sulit untuk mengetahui garis keturunan aslinya. larangan perkawinan sesuku ini sudah dari pertama nenek moyang kita ada di sini. Satu lagi, ketika menikahi keluarga dekat, kalau terjadi masalah sangat susah menyelesaikanya </w:t>
      </w:r>
      <w:r w:rsidRPr="00D64370">
        <w:rPr>
          <w:rFonts w:ascii="Garamond" w:hAnsi="Garamond"/>
        </w:rPr>
        <w:fldChar w:fldCharType="begin" w:fldLock="1"/>
      </w:r>
      <w:r>
        <w:rPr>
          <w:rFonts w:ascii="Garamond" w:hAnsi="Garamond"/>
        </w:rPr>
        <w:instrText>ADDIN CSL_CITATION {"citationItems":[{"id":"ITEM-1","itemData":{"abstract":"Intermarriage among one tribe is a model of marriage that is prohibited in custom. This marriage is used in Minangkabau society which almost entirely embraced Islam. However, this ban can survive from the very beginning until now as seen in the present day society. This study aims to find out what is the reason, the form of marriage restriction among citizens in one tribe and its legal consequences to Canduang’s society. In this study the writer uses the analysis of mashlaha in Islamic law for what reason of society’s inhibitions in prohibiting marriage among tribal people; how the form of kemashlahatan ban marriage between tribal people and how the consequences of marriage ban law among tribal people. This study shows that the reason for marriage ban among tribal people in the “canduang” society is a shame factor. This prohibition is used to prove that between one tribe’s relatives must be maintained for being a wider level of unity. Penalties imposed on offenders aimed at preventing fractures in the fraternal system within the tribe and continue to maintain a sil-aturrahmi tie between members of the Canduang community. The prohibition affects the strong sense of unity within the country. Either way, legal conse-quences, and forms of marriage restriction among tribal people are included in one form of mashlahah mursalah","author":[{"dropping-particle":"","family":"Danil","given":"Muhammad","non-dropping-particle":"","parse-names":false,"suffix":""}],"container-title":"Jurnal AL-AHKAM","id":"ITEM-1","issued":{"date-parts":[["2019"]]},"title":"Larangan Perkawinan Sesuku dalam Masyarakat Canduang;(Tinjauan Kemaslahatan dalam Hukum Islam)","type":"article-journal"},"uris":["http://www.mendeley.com/documents/?uuid=2ec8bba8-7742-49bb-ae50-00e601ea3b43"]}],"mendeley":{"formattedCitation":"(Danil 2019)","plainTextFormattedCitation":"(Danil 2019)","previouslyFormattedCitation":"(Danil, 2019)"},"properties":{"noteIndex":0},"schema":"https://github.com/citation-style-language/schema/raw/master/csl-citation.json"}</w:instrText>
      </w:r>
      <w:r w:rsidRPr="00D64370">
        <w:rPr>
          <w:rFonts w:ascii="Garamond" w:hAnsi="Garamond"/>
        </w:rPr>
        <w:fldChar w:fldCharType="separate"/>
      </w:r>
      <w:r w:rsidRPr="00D64370">
        <w:rPr>
          <w:rFonts w:ascii="Garamond" w:hAnsi="Garamond"/>
          <w:noProof/>
        </w:rPr>
        <w:t>(Danil 2019)</w:t>
      </w:r>
      <w:r w:rsidRPr="00D64370">
        <w:rPr>
          <w:rFonts w:ascii="Garamond" w:hAnsi="Garamond"/>
        </w:rPr>
        <w:fldChar w:fldCharType="end"/>
      </w:r>
      <w:r w:rsidRPr="00D64370">
        <w:rPr>
          <w:rFonts w:ascii="Garamond" w:hAnsi="Garamond"/>
        </w:rPr>
        <w:t xml:space="preserve">. </w:t>
      </w:r>
    </w:p>
    <w:p w14:paraId="0586C43E" w14:textId="77777777" w:rsidR="00D64370" w:rsidRPr="00802875" w:rsidRDefault="00D64370" w:rsidP="00ED61F6">
      <w:pPr>
        <w:pStyle w:val="BodyText"/>
      </w:pPr>
    </w:p>
    <w:p w14:paraId="5B665455" w14:textId="67F4CAFB" w:rsidR="00ED61F6" w:rsidRPr="00802875" w:rsidRDefault="00D64370" w:rsidP="00802875">
      <w:pPr>
        <w:pStyle w:val="Heading2"/>
      </w:pPr>
      <w:r>
        <w:lastRenderedPageBreak/>
        <w:t>Konseling Perkawinan</w:t>
      </w:r>
    </w:p>
    <w:p w14:paraId="25F12E0C" w14:textId="76D7E7AF" w:rsidR="00D64370" w:rsidRDefault="00D64370" w:rsidP="00D64370">
      <w:pPr>
        <w:tabs>
          <w:tab w:val="left" w:pos="0"/>
          <w:tab w:val="left" w:pos="284"/>
          <w:tab w:val="left" w:pos="851"/>
        </w:tabs>
        <w:spacing w:after="0" w:line="240" w:lineRule="auto"/>
        <w:jc w:val="both"/>
        <w:rPr>
          <w:rFonts w:ascii="Garamond" w:hAnsi="Garamond" w:cs="Arial"/>
        </w:rPr>
      </w:pPr>
      <w:r>
        <w:rPr>
          <w:rFonts w:ascii="Garamond" w:hAnsi="Garamond" w:cs="Arial"/>
        </w:rPr>
        <w:tab/>
      </w:r>
      <w:r w:rsidRPr="00D64370">
        <w:rPr>
          <w:rFonts w:ascii="Garamond" w:hAnsi="Garamond" w:cs="Arial"/>
        </w:rPr>
        <w:t xml:space="preserve">Konseling perkawinan diarahkan pada lima tahap orientasi yaitu memahami makna keluarga, meningkatkan  kesadaran dan  dinamika keluarga, komunikasi dan  terapi,  membangun  interaksi  dan  relasi  keluarga,  penanganan problem keluarga, membina  hubungan keluarga  melalui gaya kelekatan keluarga </w:t>
      </w:r>
      <w:r w:rsidRPr="00D64370">
        <w:rPr>
          <w:rFonts w:ascii="Garamond" w:hAnsi="Garamond" w:cs="Arial"/>
        </w:rPr>
        <w:fldChar w:fldCharType="begin" w:fldLock="1"/>
      </w:r>
      <w:r>
        <w:rPr>
          <w:rFonts w:ascii="Garamond" w:hAnsi="Garamond" w:cs="Arial"/>
        </w:rPr>
        <w:instrText>ADDIN CSL_CITATION {"citationItems":[{"id":"ITEM-1","itemData":{"abstract":"Kehidupan perkawinan dapat disebut menyatukan dua keunikan. Perbedaan watak, karakter, selera dan pengetahuan dari dua orang yang disatukan dalam rumah tangga, hidup bersama dalam waktu yang lama. Beberapa problema rumah tangga yang membutuhkan pembimbing atau konselor dalam pemecahan masalahnya antara lain; masalah ekonomi yang kurang tercukupi dapat menjadi pemicu ketegangan dalam keluarga, perbedaan watak dan karakter serta perbedaan kepribadian yang terlalu tajam antara suami isteri yang sulit menemukan titik temu, kesibukan suami istri yang lebih banyak berada di luar rumah dan perselingkuhan. Demikian pula kesenjangan pendidikan antara suami dan istri, kejenuhan rutinitas terutama istri yang tidak punya kegiatan di luar rumah dan yang utama adalah karena jauh dari agama. Tujuan dari konseling perkawinan dan keluarga islami adalah untuk memecahkan masalah yang tengah dihadapi sebuah keluarga apakah suami atau istri dan anak-anaknya dan klien dapat secara mandiri membuat keputusan terbaik menurut dirinya dan keluarganya.","author":[{"dropping-particle":"","family":"Syahraeni","given":"A","non-dropping-particle":"","parse-names":false,"suffix":""}],"container-title":"Al-Irsyad Al-Nafs","id":"ITEM-1","issued":{"date-parts":[["2014"]]},"title":"Konseling Perkawinan / Keluarga Islami","type":"article-journal"},"uris":["http://www.mendeley.com/documents/?uuid=45d887ee-046f-4b4e-b8e7-6b80457ff861","http://www.mendeley.com/documents/?uuid=31695c92-77be-479a-990c-58adbe12e64d"]}],"mendeley":{"formattedCitation":"(Syahraeni 2014)","plainTextFormattedCitation":"(Syahraeni 2014)","previouslyFormattedCitation":"(Syahraeni, 2014)"},"properties":{"noteIndex":0},"schema":"https://github.com/citation-style-language/schema/raw/master/csl-citation.json"}</w:instrText>
      </w:r>
      <w:r w:rsidRPr="00D64370">
        <w:rPr>
          <w:rFonts w:ascii="Garamond" w:hAnsi="Garamond" w:cs="Arial"/>
        </w:rPr>
        <w:fldChar w:fldCharType="separate"/>
      </w:r>
      <w:r w:rsidRPr="00D64370">
        <w:rPr>
          <w:rFonts w:ascii="Garamond" w:hAnsi="Garamond" w:cs="Arial"/>
          <w:noProof/>
        </w:rPr>
        <w:t>(Syahraeni 2014)</w:t>
      </w:r>
      <w:r w:rsidRPr="00D64370">
        <w:rPr>
          <w:rFonts w:ascii="Garamond" w:hAnsi="Garamond" w:cs="Arial"/>
        </w:rPr>
        <w:fldChar w:fldCharType="end"/>
      </w:r>
      <w:r w:rsidRPr="00D64370">
        <w:rPr>
          <w:rFonts w:ascii="Garamond" w:hAnsi="Garamond" w:cs="Arial"/>
        </w:rPr>
        <w:t xml:space="preserve">. Lima orientasi ini merupakan upaya preventif mengurangi dan menangani problem relasi keluarga, selanjutnya dapat digunakan sebagai salah satu strategi membangun hubungan keluarga sakinah </w:t>
      </w:r>
      <w:r w:rsidRPr="00D64370">
        <w:rPr>
          <w:rFonts w:ascii="Garamond" w:hAnsi="Garamond" w:cs="Arial"/>
        </w:rPr>
        <w:fldChar w:fldCharType="begin" w:fldLock="1"/>
      </w:r>
      <w:r>
        <w:rPr>
          <w:rFonts w:ascii="Garamond" w:hAnsi="Garamond" w:cs="Arial"/>
        </w:rPr>
        <w:instrText>ADDIN CSL_CITATION {"citationItems":[{"id":"ITEM-1","itemData":{"DOI":"10.47736/tajdidukasi.v9i1.16","ISSN":"1979-6943","abstract":"Tulisan ini bertujuan untuk mendeskripsikan dan menganalisis peran konseling perkawinan dalam penanganan problem relasi keluarga dan membangun hubungan keluarga yang sakinah. Metode yang digunakan library research dengan teknik analisis data menggunakan deskriptif kualitatif. Hasil penelitian menunjukkan bahwa problematika relasi keluarga semakin komplek sehingga mengakibatkan ketidakharmonisan dalam keluarga. Upaya yang dapat digunakan untuk mencegah dan mengurangi problem relasi keluarga adalah melalui layanan konseling perkawinan. Konseling perkawinan diarahkan pada lima tahap orientasi yaitu memahami makna keluarga, meningkatkan kesadaran dan dinamika keluarga, komunikasi dan terapi, membangun interaksi dan relasi keluarga, penanganan problem keluarga, membina hubungan keluarga melalui gaya kelekatan keluarga. Lima orientasi ini menjadi upaya preventif mengurangi dan menangani problem relasi keluarga, selanjutnya dapat digunakan sebagai salah satu strategi membangun hubungan keluarga yang sakinah.","author":[{"dropping-particle":"","family":"Purwanto","given":"Erwan Agus","non-dropping-particle":"","parse-names":false,"suffix":""}],"container-title":"Tajdidukasi: Jurnal Penelitian dan Kajian","id":"ITEM-1","issued":{"date-parts":[["2017"]]},"title":"Metode Penelitian Kuantitatif","type":"article-journal"},"uris":["http://www.mendeley.com/documents/?uuid=7010733c-286f-4dd0-b1cf-1644d1a2fddf","http://www.mendeley.com/documents/?uuid=a6eea50b-be10-4de4-bebf-a4d450b6625a"]}],"mendeley":{"formattedCitation":"(Purwanto 2017)","plainTextFormattedCitation":"(Purwanto 2017)","previouslyFormattedCitation":"(Casmini, 2019)"},"properties":{"noteIndex":0},"schema":"https://github.com/citation-style-language/schema/raw/master/csl-citation.json"}</w:instrText>
      </w:r>
      <w:r w:rsidRPr="00D64370">
        <w:rPr>
          <w:rFonts w:ascii="Garamond" w:hAnsi="Garamond" w:cs="Arial"/>
        </w:rPr>
        <w:fldChar w:fldCharType="separate"/>
      </w:r>
      <w:r w:rsidRPr="00D64370">
        <w:rPr>
          <w:rFonts w:ascii="Garamond" w:hAnsi="Garamond" w:cs="Arial"/>
          <w:noProof/>
        </w:rPr>
        <w:t>(Purwanto 2017)</w:t>
      </w:r>
      <w:r w:rsidRPr="00D64370">
        <w:rPr>
          <w:rFonts w:ascii="Garamond" w:hAnsi="Garamond" w:cs="Arial"/>
        </w:rPr>
        <w:fldChar w:fldCharType="end"/>
      </w:r>
      <w:r w:rsidRPr="00D64370">
        <w:rPr>
          <w:rFonts w:ascii="Garamond" w:hAnsi="Garamond" w:cs="Arial"/>
        </w:rPr>
        <w:t>.</w:t>
      </w:r>
    </w:p>
    <w:p w14:paraId="0DAEF831" w14:textId="5A4B44BE" w:rsidR="00D64370" w:rsidRDefault="00D64370" w:rsidP="00D64370">
      <w:pPr>
        <w:tabs>
          <w:tab w:val="left" w:pos="0"/>
          <w:tab w:val="left" w:pos="284"/>
          <w:tab w:val="left" w:pos="851"/>
        </w:tabs>
        <w:spacing w:after="0" w:line="240" w:lineRule="auto"/>
        <w:jc w:val="both"/>
        <w:rPr>
          <w:rFonts w:ascii="Garamond" w:hAnsi="Garamond" w:cs="Arial"/>
        </w:rPr>
      </w:pPr>
      <w:r>
        <w:rPr>
          <w:rFonts w:ascii="Garamond" w:hAnsi="Garamond" w:cs="Arial"/>
        </w:rPr>
        <w:tab/>
      </w:r>
      <w:r w:rsidRPr="00D64370">
        <w:rPr>
          <w:rFonts w:ascii="Garamond" w:hAnsi="Garamond" w:cs="Arial"/>
        </w:rPr>
        <w:t xml:space="preserve">Konseling perkawinan mengarahkan anggota keluarga menyadari fungsi, peran dan tanggung jawab individu dalam keluarganya </w:t>
      </w:r>
      <w:r w:rsidRPr="00D64370">
        <w:rPr>
          <w:rFonts w:ascii="Garamond" w:hAnsi="Garamond" w:cs="Arial"/>
        </w:rPr>
        <w:fldChar w:fldCharType="begin" w:fldLock="1"/>
      </w:r>
      <w:r>
        <w:rPr>
          <w:rFonts w:ascii="Garamond" w:hAnsi="Garamond" w:cs="Arial"/>
        </w:rPr>
        <w:instrText>ADDIN CSL_CITATION {"citationItems":[{"id":"ITEM-1","itemData":{"abstract":"Tulisan ini bertujuan untuk mendeskripsikan dan menganalisis peran konseling perkawinan dalam penanganan problem relasi keluarga dalam membangun keluarga sakinah. Metode yang digunakan library research, dengan teknik analisis data menggunakan deskriptif kualitatif. Hasil penelitian menunjukkan bahwa problematika relasi keluarga semakin komplek sehingga mengakibatkan ketidakharmonisan dalam keluarga. Upaya yang dapat digunakan untuk mencegah dan mengurangi problem relasi keluarga adalah melalui layanan konseling perkawinan. Konseling perkawinan diarahkan pada lima tahap orientasi yaitu memahami makna keluarga, meningkatkan kesadaran dan dinamika keluarga, komunikasi dan terapi, membangun interaksi dan relasi keluarga, penanganan problem keluarga, membina hubungan keluarga melalui gaya kelekatan keluarga. Lima orientasi ini merupakan upaya preventif mengurangi dan menangani problem relasi keluarga, selanjutnya dapat digunakan sebagai salah satu strategi membangun hubungan keluarga sakinah. Kata kunci: Konseling perkawinan, problem relasi keluarga, keluarga sakinah. Vol.","author":[{"dropping-particle":"","family":"Hasanah","given":"Hasyim","non-dropping-particle":"","parse-names":false,"suffix":""}],"container-title":"J. Bimbingan Konseling Islam","id":"ITEM-1","issued":{"date-parts":[["2016"]]},"title":"Konseling Perkawinan ( Strategi Penanganan Problem Relasi Keluarga dalam Membangun Keluarga Sakinah )","type":"article-journal"},"uris":["http://www.mendeley.com/documents/?uuid=343d7eb7-295a-4a9f-903b-19f84726ae73","http://www.mendeley.com/documents/?uuid=77d1f5a1-bba5-47c1-a1fb-a6c10802437c"]}],"mendeley":{"formattedCitation":"(Hasanah 2016)","plainTextFormattedCitation":"(Hasanah 2016)","previouslyFormattedCitation":"(Hasanah, 2016)"},"properties":{"noteIndex":0},"schema":"https://github.com/citation-style-language/schema/raw/master/csl-citation.json"}</w:instrText>
      </w:r>
      <w:r w:rsidRPr="00D64370">
        <w:rPr>
          <w:rFonts w:ascii="Garamond" w:hAnsi="Garamond" w:cs="Arial"/>
        </w:rPr>
        <w:fldChar w:fldCharType="separate"/>
      </w:r>
      <w:r w:rsidRPr="00D64370">
        <w:rPr>
          <w:rFonts w:ascii="Garamond" w:hAnsi="Garamond" w:cs="Arial"/>
          <w:noProof/>
        </w:rPr>
        <w:t>(Hasanah 2016)</w:t>
      </w:r>
      <w:r w:rsidRPr="00D64370">
        <w:rPr>
          <w:rFonts w:ascii="Garamond" w:hAnsi="Garamond" w:cs="Arial"/>
        </w:rPr>
        <w:fldChar w:fldCharType="end"/>
      </w:r>
      <w:r w:rsidRPr="00D64370">
        <w:rPr>
          <w:rFonts w:ascii="Garamond" w:hAnsi="Garamond" w:cs="Arial"/>
        </w:rPr>
        <w:t xml:space="preserve">. Kehidupan perkawinan  harus  dijalankan  dengan  landasan  tanggung  jawab,  peran, kekuasaan yang sesuai dengan kaidah  norma yang berlaku bi  masyarakat maupun ajaran agama. Arah selanjutnya menjadikan kehidupan perkawinan dengan rasa aman, nyaman, tenteram, dan bahagia </w:t>
      </w:r>
      <w:r w:rsidRPr="00D64370">
        <w:rPr>
          <w:rFonts w:ascii="Garamond" w:hAnsi="Garamond" w:cs="Arial"/>
        </w:rPr>
        <w:fldChar w:fldCharType="begin" w:fldLock="1"/>
      </w:r>
      <w:r>
        <w:rPr>
          <w:rFonts w:ascii="Garamond" w:hAnsi="Garamond" w:cs="Arial"/>
        </w:rPr>
        <w:instrText>ADDIN CSL_CITATION {"citationItems":[{"id":"ITEM-1","itemData":{"DOI":"10.21043/kr.v7i2.2140","ISSN":"1907-7238","abstract":"abstrak Problem-problem rumah tangga yang diakibatkan dari perkawinan, seperti perselingkuhan, konflik antar anggota keluarga, kekerasan dalam rumah tangga, dan perceraian merupakan fenomena nyata yang ada di masyarakat. Untuk membantu mengatasi problem-problem rumah tangga tersebut, diperlukanadanya konseling perkawinan. Salah satu sumber rujukan dalam mengkaji konseling perkawinan berasal dari Al-Qur'an. Al-Qur'an dapat dijadikan sebagai sumber rujukan dalam pengembangan konseling karena di dalam Al-Qur'an banyak dibahas tentang manusia dan relasinya dengan Tuhan, antar sesama, dan dengan alam semesta. Pandangan Al-Qur'an tentang manusia yang komprehensif dapat menjadi alternatif dalam menutupi kelemahan yang ada dalam beberapa pendekatan konseling yang ada. Konseling perkawinan dalam Al-Qur'an mencakup proses pendidikan, pendampingan, pengembangan, dan pemecahan masalah perkawinan. Selanjutnya, konseling perkawinan dalam Al-Qur'an juga tidak memisahkan antara konseling keluarga, konseling individu, dan konseling perkawinan itu sendiri. Semuanya menjadi satu kesatuan dalam konseling perkawinan, diawali dari pendidikan pra nikah, proses pernikahan, pasca pernikahan, pembentukan keluarga, hingga proses perceraian (jika terjadi). Pendekatan yang digunakan Al-Qur'an dalam melaksanakan konseling perkawinan bersifat komprehensif dan multifungsional, yakni gabungan dari pendekatan premarital counseling, structured modalities, multifamily group counseling, dan marital therapy.","author":[{"dropping-particle":"","family":"Basit","given":"Abdul","non-dropping-particle":"","parse-names":false,"suffix":""}],"container-title":"KONSELING RELIGI Jurnal Bimbingan Konseling Islam","id":"ITEM-1","issued":{"date-parts":[["2017"]]},"title":"KONSELING PERKAWINAN DALAM PERSPEKTIF AL-QUR’AN","type":"article-journal"},"uris":["http://www.mendeley.com/documents/?uuid=a919194e-08d3-496f-ab21-ed69a65e1c13","http://www.mendeley.com/documents/?uuid=c88cc92c-e659-40c1-908f-6f3086068f24"]}],"mendeley":{"formattedCitation":"(Basit 2017)","plainTextFormattedCitation":"(Basit 2017)","previouslyFormattedCitation":"(Basit, 2017)"},"properties":{"noteIndex":0},"schema":"https://github.com/citation-style-language/schema/raw/master/csl-citation.json"}</w:instrText>
      </w:r>
      <w:r w:rsidRPr="00D64370">
        <w:rPr>
          <w:rFonts w:ascii="Garamond" w:hAnsi="Garamond" w:cs="Arial"/>
        </w:rPr>
        <w:fldChar w:fldCharType="separate"/>
      </w:r>
      <w:r w:rsidRPr="00D64370">
        <w:rPr>
          <w:rFonts w:ascii="Garamond" w:hAnsi="Garamond" w:cs="Arial"/>
          <w:noProof/>
        </w:rPr>
        <w:t>(Basit 2017)</w:t>
      </w:r>
      <w:r w:rsidRPr="00D64370">
        <w:rPr>
          <w:rFonts w:ascii="Garamond" w:hAnsi="Garamond" w:cs="Arial"/>
        </w:rPr>
        <w:fldChar w:fldCharType="end"/>
      </w:r>
      <w:r w:rsidRPr="00D64370">
        <w:rPr>
          <w:rFonts w:ascii="Garamond" w:hAnsi="Garamond" w:cs="Arial"/>
        </w:rPr>
        <w:t>.</w:t>
      </w:r>
      <w:r>
        <w:rPr>
          <w:rFonts w:ascii="Garamond" w:hAnsi="Garamond" w:cs="Arial"/>
        </w:rPr>
        <w:tab/>
      </w:r>
    </w:p>
    <w:p w14:paraId="636C6E08" w14:textId="25772720" w:rsidR="00D64370" w:rsidRPr="00D64370" w:rsidRDefault="00D64370" w:rsidP="00D64370">
      <w:pPr>
        <w:tabs>
          <w:tab w:val="left" w:pos="0"/>
          <w:tab w:val="left" w:pos="284"/>
          <w:tab w:val="left" w:pos="851"/>
        </w:tabs>
        <w:spacing w:after="0" w:line="240" w:lineRule="auto"/>
        <w:jc w:val="both"/>
        <w:rPr>
          <w:rFonts w:ascii="Garamond" w:hAnsi="Garamond" w:cs="Arial"/>
        </w:rPr>
      </w:pPr>
      <w:r>
        <w:rPr>
          <w:rFonts w:ascii="Garamond" w:hAnsi="Garamond" w:cs="Arial"/>
        </w:rPr>
        <w:tab/>
      </w:r>
      <w:r w:rsidRPr="00D64370">
        <w:rPr>
          <w:rFonts w:ascii="Garamond" w:hAnsi="Garamond" w:cs="Arial"/>
        </w:rPr>
        <w:t xml:space="preserve">Perkawinan lintas budaya seringkali menghadapi banyak masalah dan konflik, diantaranya disebabkan perbedaan latar belakang budaya. Dalam perkawinan lintas budaya antara perempuan Indonesia dan lakilaki bule, terjadi pertemuan antara dua latar budaya yang berbeda, yakni budaya Timur dan budaya Barat </w:t>
      </w:r>
      <w:r w:rsidRPr="00D64370">
        <w:rPr>
          <w:rFonts w:ascii="Garamond" w:hAnsi="Garamond" w:cs="Arial"/>
        </w:rPr>
        <w:fldChar w:fldCharType="begin" w:fldLock="1"/>
      </w:r>
      <w:r>
        <w:rPr>
          <w:rFonts w:ascii="Garamond" w:hAnsi="Garamond" w:cs="Arial"/>
        </w:rPr>
        <w:instrText>ADDIN CSL_CITATION {"citationItems":[{"id":"ITEM-1","itemData":{"DOI":"10.15548/jk.v7i1.166","ISSN":"2356-0894","abstract":"Perkawinan lintas budaya seringkali menghadapi banyak masalah dan konflik, diantaranya disebabkan perbedaan latar belakang budaya. Dalam perkawinan lintas budaya antara perempuan Indonesia dan laki- laki bule, terjadi pertemuan antara dua latar budaya yang berbeda, yakni budaya Timur dan budaya Barat. Riset ini bertujuan untuk menyelidiki dan mengkaji perbedaan yang berpotensi konflik dalam perkawinan lintas budaya antara perempuan Indonesia dan laki-laki bule. Kajian ini merupakan salah satu bagian dari sebuah penelitian yang lebih luas cakupannya dengan menggunakan pendekatan fenomenologi, khususnya interaksi simbolis dan teori konstruksi sosial atas realitas. Metode pengumpulan data meliputi wawancara mendalam dan observasi terhadap tujuh perempuan Indonesia yang bersuamikan bule dan berdomisili di Jakarta. Terdapat beberapa perbedaan penyebab konflik yang dominan dalam perkawinan lintas budaya antara perempuan Indonesia dan laki-laki bule, yakni perbedaan konteks bahasa, gaya berkomunikasi, persepsi tentang konsep keluarga, dan persepsi tentang ruang privasi. Pada akhirnya, pasangan perkawinan lintas budaya menemukan pola penyelesaian dalam menghadapi perbedaan- perbedaan budaya yang muncul dalam kehidupan sehari-hari, baik yang berpotensi konflik maupun tidak. Sejalan dengan waktu, berbagi perbedaan-perbedaan yang ada bersama-sama, perempuan Indonesia dan suami bule akan mencapai titik di mana mereka mulai berbagi nilai-nilai dan cara pandang yang sama.","author":[{"dropping-particle":"","family":"Pratamawaty","given":"Benazir Bona","non-dropping-particle":"","parse-names":false,"suffix":""}],"container-title":"Kafa`ah: Journal of Gender Studies","id":"ITEM-1","issued":{"date-parts":[["2017"]]},"title":"Potensi Konflik Perkawinan Lintas Budaya Perempuan Indonesia dan Laki-Laki Bule","type":"article-journal"},"uris":["http://www.mendeley.com/documents/?uuid=fd633736-4a3c-4692-a0e9-851a1bd984fa","http://www.mendeley.com/documents/?uuid=9dbfef86-e8f0-4797-9a23-61c11cf090eb"]}],"mendeley":{"formattedCitation":"(Pratamawaty 2017)","plainTextFormattedCitation":"(Pratamawaty 2017)","previouslyFormattedCitation":"(Pratamawaty, 2017)"},"properties":{"noteIndex":0},"schema":"https://github.com/citation-style-language/schema/raw/master/csl-citation.json"}</w:instrText>
      </w:r>
      <w:r w:rsidRPr="00D64370">
        <w:rPr>
          <w:rFonts w:ascii="Garamond" w:hAnsi="Garamond" w:cs="Arial"/>
        </w:rPr>
        <w:fldChar w:fldCharType="separate"/>
      </w:r>
      <w:r w:rsidRPr="00D64370">
        <w:rPr>
          <w:rFonts w:ascii="Garamond" w:hAnsi="Garamond" w:cs="Arial"/>
          <w:noProof/>
        </w:rPr>
        <w:t>(Pratamawaty 2017)</w:t>
      </w:r>
      <w:r w:rsidRPr="00D64370">
        <w:rPr>
          <w:rFonts w:ascii="Garamond" w:hAnsi="Garamond" w:cs="Arial"/>
        </w:rPr>
        <w:fldChar w:fldCharType="end"/>
      </w:r>
      <w:r w:rsidRPr="00D64370">
        <w:rPr>
          <w:rFonts w:ascii="Garamond" w:hAnsi="Garamond" w:cs="Arial"/>
        </w:rPr>
        <w:t xml:space="preserve">. Pada akhirnya, pasangan perkawinan lintas budaya menemukan pola penyelesaian dalam menghadapi perbedaanperbedaan budaya yang muncul dalam kehidupan sehari-hari, baik yang berpotensi konflik maupun tidak. Sejalan dengan waktu, berbagi perbedaan-perbedaan yang ada bersama-sama, perempuan Indonesia dan suami bule akan mencapai titik di mana mereka mulai berbagi nilai-nilai dan cara pandang yang sama </w:t>
      </w:r>
      <w:r w:rsidRPr="00D64370">
        <w:rPr>
          <w:rFonts w:ascii="Garamond" w:hAnsi="Garamond" w:cs="Arial"/>
        </w:rPr>
        <w:fldChar w:fldCharType="begin" w:fldLock="1"/>
      </w:r>
      <w:r>
        <w:rPr>
          <w:rFonts w:ascii="Garamond" w:hAnsi="Garamond" w:cs="Arial"/>
        </w:rPr>
        <w:instrText>ADDIN CSL_CITATION {"citationItems":[{"id":"ITEM-1","itemData":{"abstract":"Penelitian ini berjudul Proses Akulturasi Budaya melalui Perkawinan Campuran Suku Jawa-Gayo di Desa Jeget Ayu Kecamatan Jagong Jeget Kabupaten Aceh Tengah. Tujuan penelitian untuk mengetahui proses akulturasi budaya melalui perkawinan campuran suku Jawa-Gayo di desa Jeget Ayu Kecamatan Jagong Jeget Kabupaten Aceh Tengah. Teori yang digunakan dalam penelitian ini yaitu Akulturasi John. W. Berry. Pendekatan yang digunakan pendekatan deskriptif kualitatif. Teknik pemilihan informan menggunakan purposive sampling dengan kriteria pasangan yang tinggal dan menetap di desa Jeget Ayu, pelaku perkawinan campuran suku Jawa dengan suku Gayo. Pengumpulan data yang digunakan yaitu observasi dan wawancara mendalam. Rangkaian proses akulturasi dimulai dari tahapan pemahaman tentang budaya lain, tahap pengertian atau penerimaan budaya lain antara satu dengan yang lain hingga tahapan pelaksaan dimana melaksanakan kedua budaya dalam satu tradisi tanpa menghilangkan budaya yang lainnya. Proses yang terjadi sejalan dengan teori John W. Berry mencatat pemahaman penting terkait dengan konsep akulturasi dalam percampuran budaya Jawa dan Gayo. Konsep akulturasi yang mencoba memahami berbagai fenomena yang dihasilkan oleh kelompok individu yang memiliki budaya berbeda manakala kelompok individu tersebut memasuki budaya baru, sehingga mengakibatkan perubahan-perubahan pada pola budayanya yang asli. Hal ini terlihat pada pelaksaan prosesi perkawinan yang kini menggunakan pakaian adat Jawa tetapi tetap dipandu dengan menggunakan bahasa Gayo. Akulturasi budaya yang menyatu dengan mudah dan menghargai setiap perbedaan yang ada akan membuat satu sama lain tercipta percampuran dua kebudayaan bagi generasi selanjutnya","author":[{"dropping-particle":"","family":"Qaidar","given":"Annurul","non-dropping-particle":"","parse-names":false,"suffix":""},{"dropping-particle":"","family":"Annisah","given":"Nur","non-dropping-particle":"","parse-names":false,"suffix":""}],"container-title":"Jurnal Ilmiah Mahasiswa FISIP Unsyiah","id":"ITEM-1","issued":{"date-parts":[["2018"]]},"title":"Proses Akulturasi Budaya Melalui Perkawinan Campuran Suku Jawa - Gayo Di Desa Jeget Ayu Kecamatan Jagong Jeget Kab. Aceh Tengah","type":"article-journal"},"uris":["http://www.mendeley.com/documents/?uuid=44958e45-6787-4502-b4c6-5cd923586e31","http://www.mendeley.com/documents/?uuid=adafdfd8-4831-44f0-81b3-eb3b4bcdac6d"]}],"mendeley":{"formattedCitation":"(Qaidar and Annisah 2018)","plainTextFormattedCitation":"(Qaidar and Annisah 2018)","previouslyFormattedCitation":"(Qaidar &amp; Annisah, 2018)"},"properties":{"noteIndex":0},"schema":"https://github.com/citation-style-language/schema/raw/master/csl-citation.json"}</w:instrText>
      </w:r>
      <w:r w:rsidRPr="00D64370">
        <w:rPr>
          <w:rFonts w:ascii="Garamond" w:hAnsi="Garamond" w:cs="Arial"/>
        </w:rPr>
        <w:fldChar w:fldCharType="separate"/>
      </w:r>
      <w:r w:rsidRPr="00D64370">
        <w:rPr>
          <w:rFonts w:ascii="Garamond" w:hAnsi="Garamond" w:cs="Arial"/>
          <w:noProof/>
        </w:rPr>
        <w:t>(Qaidar and Annisah 2018)</w:t>
      </w:r>
      <w:r w:rsidRPr="00D64370">
        <w:rPr>
          <w:rFonts w:ascii="Garamond" w:hAnsi="Garamond" w:cs="Arial"/>
        </w:rPr>
        <w:fldChar w:fldCharType="end"/>
      </w:r>
      <w:r w:rsidRPr="00D64370">
        <w:rPr>
          <w:rFonts w:ascii="Garamond" w:hAnsi="Garamond" w:cs="Arial"/>
        </w:rPr>
        <w:t xml:space="preserve">. </w:t>
      </w:r>
    </w:p>
    <w:p w14:paraId="0CB9FACE" w14:textId="0BC05586" w:rsidR="00D64370" w:rsidRPr="00D64370" w:rsidRDefault="00D64370" w:rsidP="00D64370">
      <w:pPr>
        <w:tabs>
          <w:tab w:val="left" w:pos="0"/>
          <w:tab w:val="left" w:pos="284"/>
          <w:tab w:val="left" w:pos="851"/>
        </w:tabs>
        <w:spacing w:line="240" w:lineRule="auto"/>
        <w:jc w:val="both"/>
        <w:rPr>
          <w:rFonts w:ascii="Garamond" w:hAnsi="Garamond" w:cs="Arial"/>
        </w:rPr>
      </w:pPr>
      <w:r>
        <w:rPr>
          <w:rFonts w:ascii="Garamond" w:hAnsi="Garamond" w:cs="Arial"/>
        </w:rPr>
        <w:tab/>
      </w:r>
      <w:r w:rsidRPr="00D64370">
        <w:rPr>
          <w:rFonts w:ascii="Garamond" w:hAnsi="Garamond" w:cs="Arial"/>
        </w:rPr>
        <w:t xml:space="preserve">Kunci dalam perkawinan lintas budaya adalah kemampuan menyesuaikan diri dengan pasangan, disini letak penting peran komunikasi. Perkawinan lintas budaya menuntut adaptasi dengan karakter dan juga latar belakang budaya masingmasing. Penggunaan bahasa dalam komunikasi yang dilakukan antar pasangan pun kemudian menjadi sangat penting </w:t>
      </w:r>
      <w:r w:rsidRPr="00D64370">
        <w:rPr>
          <w:rFonts w:ascii="Garamond" w:hAnsi="Garamond" w:cs="Arial"/>
        </w:rPr>
        <w:fldChar w:fldCharType="begin" w:fldLock="1"/>
      </w:r>
      <w:r>
        <w:rPr>
          <w:rFonts w:ascii="Garamond" w:hAnsi="Garamond" w:cs="Arial"/>
        </w:rPr>
        <w:instrText>ADDIN CSL_CITATION {"citationItems":[{"id":"ITEM-1","itemData":{"DOI":"10.47718/jib.v7i2.1142","ISSN":"2339-1731","abstract":"ABSTRAK\r  \r Latar Belakang:  Perkembangan di era globalisasi sekarang ini, masyarakat menghadapi berbagai macam  permasalahan  timbulnya berbagai macam bentuk kenakalan remaja. Implikasi Pernikahan Dini bagi kehidupan keluarga diantaranya pada pengasuhan dan pendidikan anak yang tidak maksimal, sehingga terjadi perkawinan dini.\r Tujuan : Menjelaskan resiko terjadi perkawinan dini, dan  dampak terjadi perkawinan dini pada kehidupan keluarga dan masyarakat  pada remaja diusia 16 tahun ke bawah untuk wanita dan dibawah usia 19 tahun untuk remaja pria.\r Metode :Penelitian ini adalah penelitian kualitatif yang disajikan secara deskriptif eksploratif, yaitu  Informan utama adalah 8 orang, terdiri dari  4 remaja umur 11 tahun bagi remaja perempuan, dibawah 18 tahun bagi remaja laki-laki, sedangkan  Informan triangulasi adalah 4 orang terdiri dari 2 orang Kepala Kelurahan, 1 Kepala Kecamatan, 1 orangtua remaja.\r Hasil : Menunjukkan bahwa  Perkawinan Dini dalam budaya orang Minahasa dampaknya kurang baik   jika terjadi perkawinan dini ,dampak terhadap Kehidupan Keluarga dan masyarakat  jika terjadi perkawinan dini remaja  dan orangtua, serta masyarakat akan tidak bisa bersosialisasi hidup rukun dan damai  Budaya orang  Minahasa tidak  mengijinkan remaja menikah dibawah umur perkawinan.\r Kesimpulan : Terjadi Perkawinan dini karena kurangnya perhatian, motivasi dan pengasuhan kasih sayang orangtua   terhadap remaja, masyarakat kurang memperhatikan kenakalan anak remaja  saat bergaul pada  masa pubertas.\r  \r Kata Kunci : Perkawinan Dini, Budaya Minahasa, Kecamatan Paal 2","author":[{"dropping-particle":"","family":"Pesak","given":"Ellen","non-dropping-particle":"","parse-names":false,"suffix":""},{"dropping-particle":"","family":"Tangka","given":"Jon Welliam","non-dropping-particle":"","parse-names":false,"suffix":""},{"dropping-particle":"","family":"Bongakaraeng","given":".","non-dropping-particle":"","parse-names":false,"suffix":""}],"container-title":"JIDAN (Jurnal Ilmiah Bidan)","id":"ITEM-1","issued":{"date-parts":[["2020"]]},"title":"Analisis Kualitatif Budaya Minahasa Dalam Perkawinan Dini Dan Implikasinya Terhadap Kehidupan Keluarga","type":"article-journal"},"uris":["http://www.mendeley.com/documents/?uuid=d38f75b5-95d8-4073-8328-80bd1d67ff6c","http://www.mendeley.com/documents/?uuid=8429c3cd-d6d8-425f-b6f8-18959e7049df"]}],"mendeley":{"formattedCitation":"(Pesak, Tangka, and Bongakaraeng 2020)","plainTextFormattedCitation":"(Pesak, Tangka, and Bongakaraeng 2020)","previouslyFormattedCitation":"(Pesak et al., 2020)"},"properties":{"noteIndex":0},"schema":"https://github.com/citation-style-language/schema/raw/master/csl-citation.json"}</w:instrText>
      </w:r>
      <w:r w:rsidRPr="00D64370">
        <w:rPr>
          <w:rFonts w:ascii="Garamond" w:hAnsi="Garamond" w:cs="Arial"/>
        </w:rPr>
        <w:fldChar w:fldCharType="separate"/>
      </w:r>
      <w:r w:rsidRPr="00D64370">
        <w:rPr>
          <w:rFonts w:ascii="Garamond" w:hAnsi="Garamond" w:cs="Arial"/>
          <w:noProof/>
        </w:rPr>
        <w:t>(Pesak, Tangka, and Bongakaraeng 2020)</w:t>
      </w:r>
      <w:r w:rsidRPr="00D64370">
        <w:rPr>
          <w:rFonts w:ascii="Garamond" w:hAnsi="Garamond" w:cs="Arial"/>
        </w:rPr>
        <w:fldChar w:fldCharType="end"/>
      </w:r>
      <w:r w:rsidRPr="00D64370">
        <w:rPr>
          <w:rFonts w:ascii="Garamond" w:hAnsi="Garamond" w:cs="Arial"/>
        </w:rPr>
        <w:t xml:space="preserve">. </w:t>
      </w:r>
      <w:r w:rsidRPr="00D64370">
        <w:rPr>
          <w:rFonts w:ascii="Garamond" w:hAnsi="Garamond"/>
        </w:rPr>
        <w:t xml:space="preserve">Perkawinan lintas budaya menemukan pola penyelesaian dalam menghadapi perbedaanperbedaan budaya yang muncul dalam kehidupan sehari-hari, baik yang berpotensi konflik maupun tidak. Bagaikan roda yang berputar, perbedaan-perbedaan budaya diantara pasangan perkawinan lintas budaya selalu muncul ke permukaan dan selalu mereka hadapi dan atasi dengan cara yang sama </w:t>
      </w:r>
      <w:r w:rsidRPr="00D64370">
        <w:rPr>
          <w:rFonts w:ascii="Garamond" w:hAnsi="Garamond"/>
        </w:rPr>
        <w:fldChar w:fldCharType="begin" w:fldLock="1"/>
      </w:r>
      <w:r>
        <w:rPr>
          <w:rFonts w:ascii="Garamond" w:hAnsi="Garamond"/>
        </w:rPr>
        <w:instrText>ADDIN CSL_CITATION {"citationItems":[{"id":"ITEM-1","itemData":{"abstract":"Tulisan ini membahas tentang harmonisasi Hukum Adat, Hukum Islam, dan Hukum Negara sebagai tren terbaru perkawinan masyarakat Indonesia belakangan, dan dikhususkan sebatas pada budaya perkawinan masyarakat Jawa, Makasar, dan Sasak. Selain budaya perkawinan, tulisan ini juga melihat landasan yuridis atas eksistensi keberlangsungan hukum Adat, hukum Agama, dan hukum Negara di Indonesia.","author":[{"dropping-particle":"","family":"Murdan","given":"","non-dropping-particle":"","parse-names":false,"suffix":""}],"container-title":"Jurnal Ilmu Syari'ah dan Hukum","id":"ITEM-1","issued":{"date-parts":[["2016"]]},"title":"Harmonisasi Hukum Adat, Agama, dan Negara dalam Budaya Perkawinan Masyarakat Islam Indonesia Belakangan","type":"article-journal"},"uris":["http://www.mendeley.com/documents/?uuid=c25a899e-fb7a-47a9-8951-df670d1353b0","http://www.mendeley.com/documents/?uuid=92cf286d-cdf0-4760-abaf-2de271b932f1"]}],"mendeley":{"formattedCitation":"(Murdan 2016)","plainTextFormattedCitation":"(Murdan 2016)","previouslyFormattedCitation":"(Murdan, 2016)"},"properties":{"noteIndex":0},"schema":"https://github.com/citation-style-language/schema/raw/master/csl-citation.json"}</w:instrText>
      </w:r>
      <w:r w:rsidRPr="00D64370">
        <w:rPr>
          <w:rFonts w:ascii="Garamond" w:hAnsi="Garamond"/>
        </w:rPr>
        <w:fldChar w:fldCharType="separate"/>
      </w:r>
      <w:r w:rsidRPr="00D64370">
        <w:rPr>
          <w:rFonts w:ascii="Garamond" w:hAnsi="Garamond"/>
          <w:noProof/>
        </w:rPr>
        <w:t>(Murdan 2016)</w:t>
      </w:r>
      <w:r w:rsidRPr="00D64370">
        <w:rPr>
          <w:rFonts w:ascii="Garamond" w:hAnsi="Garamond"/>
        </w:rPr>
        <w:fldChar w:fldCharType="end"/>
      </w:r>
      <w:r w:rsidRPr="00D64370">
        <w:rPr>
          <w:rFonts w:ascii="Garamond" w:hAnsi="Garamond"/>
        </w:rPr>
        <w:t xml:space="preserve">. Pada gilirannya timbul pemahaman yang sama antara kedua belah pihak terhadap berbagai permasalahan. Seiring berjalannya waktu, berbagi perbedaan yang ada secara bersama, perempuan Indonesia dan suami bule mencapai titik di mana mereka mulai berbagi nilai-nilai dan cara pandang yang sama </w:t>
      </w:r>
      <w:r w:rsidRPr="00D64370">
        <w:rPr>
          <w:rFonts w:ascii="Garamond" w:hAnsi="Garamond"/>
        </w:rPr>
        <w:fldChar w:fldCharType="begin" w:fldLock="1"/>
      </w:r>
      <w:r>
        <w:rPr>
          <w:rFonts w:ascii="Garamond" w:hAnsi="Garamond"/>
        </w:rPr>
        <w:instrText>ADDIN CSL_CITATION {"citationItems":[{"id":"ITEM-1","itemData":{"DOI":"10.24036/jce.v1i2.218","abstract":"Penelitian ini bertujuan untuk mendapatkan informasi mengenai proses akulturasi budaya pada perkawinan Etnis Mandailing dan Minangkabau di Nagari Sontang Cubadak. Penelitian menggunakan metode kualitatif. Data dikumpulkan melalui hasil wawancara dengan tokoh adat dan tokoh masyarakat, observasi dan melalui dokumentasi. Hasil penelitian ini menunjukkan bahwa adanya interaksi yang terjadi antara masyarakat Mandailing dan Minangkabau mengakibatkan terjadinya akulturasi. Akulturasi budaya yang terjadi antara kedua etnis ini dapat dilihat dari proses perkawinan masyarakat Mandailing yang sudah mengadopsi beberapa budaya Minangkabau. Akulturasi budaya yang terjadi di daerah ini diakibatkan adanya perkawinan antar etnis, migrasi dan interaksi antar etnis.","author":[{"dropping-particle":"","family":"Suhaimar","given":"Lisa","non-dropping-particle":"","parse-names":false,"suffix":""},{"dropping-particle":"","family":"Dewi","given":"Susi Fitria","non-dropping-particle":"","parse-names":false,"suffix":""}],"container-title":"Journal of Civic Education","id":"ITEM-1","issued":{"date-parts":[["2018"]]},"title":"Akulturasi Budaya Pada Perkawinan Etnis Mandailing dan Minangkabau Di Nagari Sontang","type":"article-journal"},"uris":["http://www.mendeley.com/documents/?uuid=680cc5fa-740b-472b-891c-49c879d68bce","http://www.mendeley.com/documents/?uuid=5cbb85bf-a9b9-4ebb-a1c1-9e8204f49ce9"]}],"mendeley":{"formattedCitation":"(Suhaimar and Dewi 2018)","plainTextFormattedCitation":"(Suhaimar and Dewi 2018)","previouslyFormattedCitation":"(Suhaimar &amp; Dewi, 2018)"},"properties":{"noteIndex":0},"schema":"https://github.com/citation-style-language/schema/raw/master/csl-citation.json"}</w:instrText>
      </w:r>
      <w:r w:rsidRPr="00D64370">
        <w:rPr>
          <w:rFonts w:ascii="Garamond" w:hAnsi="Garamond"/>
        </w:rPr>
        <w:fldChar w:fldCharType="separate"/>
      </w:r>
      <w:r w:rsidRPr="00D64370">
        <w:rPr>
          <w:rFonts w:ascii="Garamond" w:hAnsi="Garamond"/>
          <w:noProof/>
        </w:rPr>
        <w:t>(Suhaimar and Dewi 2018)</w:t>
      </w:r>
      <w:r w:rsidRPr="00D64370">
        <w:rPr>
          <w:rFonts w:ascii="Garamond" w:hAnsi="Garamond"/>
        </w:rPr>
        <w:fldChar w:fldCharType="end"/>
      </w:r>
      <w:r w:rsidRPr="00D64370">
        <w:rPr>
          <w:rFonts w:ascii="Garamond" w:hAnsi="Garamond"/>
        </w:rPr>
        <w:t>.</w:t>
      </w:r>
    </w:p>
    <w:p w14:paraId="20691A02" w14:textId="77777777" w:rsidR="001D3CF1" w:rsidRPr="00FD1055" w:rsidRDefault="006E07B2" w:rsidP="006E07B2">
      <w:pPr>
        <w:pStyle w:val="Heading1"/>
        <w:numPr>
          <w:ilvl w:val="0"/>
          <w:numId w:val="0"/>
        </w:numPr>
        <w:rPr>
          <w:sz w:val="22"/>
          <w:szCs w:val="22"/>
        </w:rPr>
      </w:pPr>
      <w:r w:rsidRPr="00FD1055">
        <w:rPr>
          <w:sz w:val="22"/>
          <w:szCs w:val="22"/>
        </w:rPr>
        <w:t xml:space="preserve">4. </w:t>
      </w:r>
      <w:r w:rsidR="001D3CF1" w:rsidRPr="00FD1055">
        <w:rPr>
          <w:sz w:val="22"/>
          <w:szCs w:val="22"/>
        </w:rPr>
        <w:t>Conclusion</w:t>
      </w:r>
    </w:p>
    <w:p w14:paraId="48A740DA" w14:textId="491B62D5" w:rsidR="00D64370" w:rsidRPr="00D64370" w:rsidRDefault="00D64370" w:rsidP="00D64370">
      <w:pPr>
        <w:tabs>
          <w:tab w:val="left" w:pos="567"/>
          <w:tab w:val="left" w:pos="1122"/>
        </w:tabs>
        <w:spacing w:after="120" w:line="240" w:lineRule="auto"/>
        <w:ind w:hanging="3"/>
        <w:jc w:val="both"/>
        <w:rPr>
          <w:rFonts w:ascii="Garamond" w:hAnsi="Garamond" w:cs="Arial"/>
        </w:rPr>
      </w:pPr>
      <w:r>
        <w:rPr>
          <w:rFonts w:ascii="Garamond" w:hAnsi="Garamond" w:cs="Arial"/>
        </w:rPr>
        <w:tab/>
      </w:r>
      <w:r>
        <w:rPr>
          <w:rFonts w:ascii="Garamond" w:hAnsi="Garamond" w:cs="Arial"/>
        </w:rPr>
        <w:tab/>
      </w:r>
      <w:r w:rsidRPr="00D64370">
        <w:rPr>
          <w:rFonts w:ascii="Garamond" w:hAnsi="Garamond" w:cs="Arial"/>
        </w:rPr>
        <w:t xml:space="preserve">Perkawinan sesuku ini pada umumnya memiliki akibat hukum yang sama terhadap para pelakunya, yaitu terbuang dari kampung, denda yang nilainya hampir sama, Perkawinan akan menyatukan dua keluarga yang berbeda, bukan hanya menyatukan antara pasangan suami istri saja. Dalam peraturan adat di Minangkabau pasangan yang akan menikah adalah pasangan yang berbeda suku (eksogami) bukan satu suku. Adapun menurut hukum adat  Minangkabau seseorang dilarang kawin dengan suku yang sama disebabkan karena garis keturunan di Minangkabau dilihat berdasarkan garis keturunan ibu, adapun terkait sistem perkawinannya menggunakan  sistem  eksogami  matrilokal  atau  eksogami  matrilineal,  yaitu suatu  sistem  yang  memperbolehkan  seseorang  menikah  dengan  orang  yang memiliki  suku  yang  berbeda  dengannya. </w:t>
      </w:r>
    </w:p>
    <w:p w14:paraId="5788AFBF" w14:textId="77777777" w:rsidR="004178F0" w:rsidRPr="006E07B2" w:rsidRDefault="000413BE" w:rsidP="008934E2">
      <w:pPr>
        <w:pStyle w:val="Heading5"/>
        <w:rPr>
          <w:rFonts w:ascii="Times New Roman" w:eastAsia="MS Mincho" w:hAnsi="Times New Roman"/>
        </w:rPr>
      </w:pPr>
      <w:bookmarkStart w:id="0" w:name="_Hlk534362220"/>
      <w:r w:rsidRPr="006E07B2">
        <w:rPr>
          <w:rFonts w:ascii="Times New Roman" w:eastAsia="MS Mincho" w:hAnsi="Times New Roman"/>
        </w:rPr>
        <w:t>References</w:t>
      </w:r>
    </w:p>
    <w:bookmarkEnd w:id="0"/>
    <w:p w14:paraId="240A4BDD" w14:textId="6DA008DE"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Pr>
          <w:lang w:val="id-ID"/>
        </w:rPr>
        <w:fldChar w:fldCharType="begin" w:fldLock="1"/>
      </w:r>
      <w:r>
        <w:rPr>
          <w:lang w:val="id-ID"/>
        </w:rPr>
        <w:instrText xml:space="preserve">ADDIN Mendeley Bibliography CSL_BIBLIOGRAPHY </w:instrText>
      </w:r>
      <w:r>
        <w:rPr>
          <w:lang w:val="id-ID"/>
        </w:rPr>
        <w:fldChar w:fldCharType="separate"/>
      </w:r>
      <w:r w:rsidRPr="00D64370">
        <w:rPr>
          <w:rFonts w:ascii="Adobe Garamond Pro" w:hAnsi="Adobe Garamond Pro"/>
          <w:noProof/>
          <w:szCs w:val="24"/>
        </w:rPr>
        <w:t xml:space="preserve">Afwadi. 2010. “PENYELENGGARAAN PEMERINTAHAN NAGARI: ANTARA FORMAT ADAT ATAU FORMAT NEGARA.” </w:t>
      </w:r>
      <w:r w:rsidRPr="00D64370">
        <w:rPr>
          <w:rFonts w:ascii="Adobe Garamond Pro" w:hAnsi="Adobe Garamond Pro"/>
          <w:i/>
          <w:iCs/>
          <w:noProof/>
          <w:szCs w:val="24"/>
        </w:rPr>
        <w:t>JURIS</w:t>
      </w:r>
      <w:r w:rsidRPr="00D64370">
        <w:rPr>
          <w:rFonts w:ascii="Adobe Garamond Pro" w:hAnsi="Adobe Garamond Pro"/>
          <w:noProof/>
          <w:szCs w:val="24"/>
        </w:rPr>
        <w:t>.</w:t>
      </w:r>
    </w:p>
    <w:p w14:paraId="3A0D2E6F"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Al-himayah, Jurnal. 2018. “Jurnal Al-Himayah.” </w:t>
      </w:r>
      <w:r w:rsidRPr="00D64370">
        <w:rPr>
          <w:rFonts w:ascii="Adobe Garamond Pro" w:hAnsi="Adobe Garamond Pro"/>
          <w:i/>
          <w:iCs/>
          <w:noProof/>
          <w:szCs w:val="24"/>
        </w:rPr>
        <w:t>Pembagian Harta Waris (Studi Analisis Marga Mandailing Di Kabupaten Pasaman Berdasarkan Konsep Dasar Sosiologi Hukum )</w:t>
      </w:r>
      <w:r w:rsidRPr="00D64370">
        <w:rPr>
          <w:rFonts w:ascii="Adobe Garamond Pro" w:hAnsi="Adobe Garamond Pro"/>
          <w:noProof/>
          <w:szCs w:val="24"/>
        </w:rPr>
        <w:t>.</w:t>
      </w:r>
    </w:p>
    <w:p w14:paraId="26BB274D"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Alade, Salman. 2020. “PERTENTANGAN HUKUM ADAT DAN HUKUM ISLAM DI MINANGKABAU DALAM NOVEL MENCARI CINTA YANG HILANG KARYA ABDULKARIM KHIARATULLAH (TINJAUAN SOSIOLOGI SASTRA).” </w:t>
      </w:r>
      <w:r w:rsidRPr="00D64370">
        <w:rPr>
          <w:rFonts w:ascii="Adobe Garamond Pro" w:hAnsi="Adobe Garamond Pro"/>
          <w:i/>
          <w:iCs/>
          <w:noProof/>
          <w:szCs w:val="24"/>
        </w:rPr>
        <w:t>Jambura Journal of Linguistics and Literature</w:t>
      </w:r>
      <w:r w:rsidRPr="00D64370">
        <w:rPr>
          <w:rFonts w:ascii="Adobe Garamond Pro" w:hAnsi="Adobe Garamond Pro"/>
          <w:noProof/>
          <w:szCs w:val="24"/>
        </w:rPr>
        <w:t>. https://doi.org/10.37905/jjll.v1i1.6921.</w:t>
      </w:r>
    </w:p>
    <w:p w14:paraId="74DF79AE"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lastRenderedPageBreak/>
        <w:t xml:space="preserve">Amalia, Rizki. 2016. “Penerapan Konseling Eksistensial Humanistik Berbasis Nilai Budaya Minangkabau Dalam Kesetaraan Gender Untuk Meningkatkan Self-Esteem Pada Remaja Putri.” </w:t>
      </w:r>
      <w:r w:rsidRPr="00D64370">
        <w:rPr>
          <w:rFonts w:ascii="Adobe Garamond Pro" w:hAnsi="Adobe Garamond Pro"/>
          <w:i/>
          <w:iCs/>
          <w:noProof/>
          <w:szCs w:val="24"/>
        </w:rPr>
        <w:t>Jurnal Bimbingan Konseling Ar-Rahman</w:t>
      </w:r>
      <w:r w:rsidRPr="00D64370">
        <w:rPr>
          <w:rFonts w:ascii="Adobe Garamond Pro" w:hAnsi="Adobe Garamond Pro"/>
          <w:noProof/>
          <w:szCs w:val="24"/>
        </w:rPr>
        <w:t>.</w:t>
      </w:r>
    </w:p>
    <w:p w14:paraId="3C4BF7B4"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Arifin, Syamsul. 2016. “Budaya Islam Dalam Adat Perkawinan Minangkabau.” </w:t>
      </w:r>
      <w:r w:rsidRPr="00D64370">
        <w:rPr>
          <w:rFonts w:ascii="Adobe Garamond Pro" w:hAnsi="Adobe Garamond Pro"/>
          <w:i/>
          <w:iCs/>
          <w:noProof/>
          <w:szCs w:val="24"/>
        </w:rPr>
        <w:t>El-HARAKAH (TERAKREDITASI)</w:t>
      </w:r>
      <w:r w:rsidRPr="00D64370">
        <w:rPr>
          <w:rFonts w:ascii="Adobe Garamond Pro" w:hAnsi="Adobe Garamond Pro"/>
          <w:noProof/>
          <w:szCs w:val="24"/>
        </w:rPr>
        <w:t>. https://doi.org/10.18860/el.v16i1.2511.</w:t>
      </w:r>
    </w:p>
    <w:p w14:paraId="496A9905"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Basit, Abdul. 2017. “KONSELING PERKAWINAN DALAM PERSPEKTIF AL-QUR’AN.” </w:t>
      </w:r>
      <w:r w:rsidRPr="00D64370">
        <w:rPr>
          <w:rFonts w:ascii="Adobe Garamond Pro" w:hAnsi="Adobe Garamond Pro"/>
          <w:i/>
          <w:iCs/>
          <w:noProof/>
          <w:szCs w:val="24"/>
        </w:rPr>
        <w:t>KONSELING RELIGI Jurnal Bimbingan Konseling Islam</w:t>
      </w:r>
      <w:r w:rsidRPr="00D64370">
        <w:rPr>
          <w:rFonts w:ascii="Adobe Garamond Pro" w:hAnsi="Adobe Garamond Pro"/>
          <w:noProof/>
          <w:szCs w:val="24"/>
        </w:rPr>
        <w:t>. https://doi.org/10.21043/kr.v7i2.2140.</w:t>
      </w:r>
    </w:p>
    <w:p w14:paraId="197D2C7C"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Danil, Muhammad. 2019. “Larangan Perkawinan Sesuku Dalam Masyarakat Canduang;(Tinjauan Kemaslahatan Dalam Hukum Islam).” </w:t>
      </w:r>
      <w:r w:rsidRPr="00D64370">
        <w:rPr>
          <w:rFonts w:ascii="Adobe Garamond Pro" w:hAnsi="Adobe Garamond Pro"/>
          <w:i/>
          <w:iCs/>
          <w:noProof/>
          <w:szCs w:val="24"/>
        </w:rPr>
        <w:t>Jurnal AL-AHKAM</w:t>
      </w:r>
      <w:r w:rsidRPr="00D64370">
        <w:rPr>
          <w:rFonts w:ascii="Adobe Garamond Pro" w:hAnsi="Adobe Garamond Pro"/>
          <w:noProof/>
          <w:szCs w:val="24"/>
        </w:rPr>
        <w:t>.</w:t>
      </w:r>
    </w:p>
    <w:p w14:paraId="72205873"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Diah Puspayanthi  I Ketut, Luh Putu; Sudantra. 2017. “KEDUDUKAN SUAMI ISTRI TERHADAP HARTA BENDA PERKAWINAN DALAM HAL TERJADI PERCERAIAN: PERSPEKTIF UNDANG-UNDANG PERKAWINAN DAN HUKUM ADAT BALI.” </w:t>
      </w:r>
      <w:r w:rsidRPr="00D64370">
        <w:rPr>
          <w:rFonts w:ascii="Adobe Garamond Pro" w:hAnsi="Adobe Garamond Pro"/>
          <w:i/>
          <w:iCs/>
          <w:noProof/>
          <w:szCs w:val="24"/>
        </w:rPr>
        <w:t>Kertha Desa</w:t>
      </w:r>
      <w:r w:rsidRPr="00D64370">
        <w:rPr>
          <w:rFonts w:ascii="Adobe Garamond Pro" w:hAnsi="Adobe Garamond Pro"/>
          <w:noProof/>
          <w:szCs w:val="24"/>
        </w:rPr>
        <w:t>.</w:t>
      </w:r>
    </w:p>
    <w:p w14:paraId="5DEE37F3"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Effendi, Devi Rianti. 2020. “ANALISIS PENYELESAIAN SENGKETA HARTA BERSAMA AKIBAT PUTUSAN PERKAWAINAN KARENA KEMATIAN.” </w:t>
      </w:r>
      <w:r w:rsidRPr="00D64370">
        <w:rPr>
          <w:rFonts w:ascii="Adobe Garamond Pro" w:hAnsi="Adobe Garamond Pro"/>
          <w:i/>
          <w:iCs/>
          <w:noProof/>
          <w:szCs w:val="24"/>
        </w:rPr>
        <w:t>UNES Law Review</w:t>
      </w:r>
      <w:r w:rsidRPr="00D64370">
        <w:rPr>
          <w:rFonts w:ascii="Adobe Garamond Pro" w:hAnsi="Adobe Garamond Pro"/>
          <w:noProof/>
          <w:szCs w:val="24"/>
        </w:rPr>
        <w:t>. https://doi.org/10.31933/unesrev.v2i2.67.</w:t>
      </w:r>
    </w:p>
    <w:p w14:paraId="16E54F01"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Hasanah, Hasyim. 2016. “Konseling Perkawinan ( Strategi Penanganan Problem Relasi Keluarga Dalam Membangun Keluarga Sakinah ).” </w:t>
      </w:r>
      <w:r w:rsidRPr="00D64370">
        <w:rPr>
          <w:rFonts w:ascii="Adobe Garamond Pro" w:hAnsi="Adobe Garamond Pro"/>
          <w:i/>
          <w:iCs/>
          <w:noProof/>
          <w:szCs w:val="24"/>
        </w:rPr>
        <w:t>J. Bimbingan Konseling Islam</w:t>
      </w:r>
      <w:r w:rsidRPr="00D64370">
        <w:rPr>
          <w:rFonts w:ascii="Adobe Garamond Pro" w:hAnsi="Adobe Garamond Pro"/>
          <w:noProof/>
          <w:szCs w:val="24"/>
        </w:rPr>
        <w:t>.</w:t>
      </w:r>
    </w:p>
    <w:p w14:paraId="76149826"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Huda, Fatkhan Amirul. 2017. “Pengertian Dan Definisi Kajian Pustaka.” Http://Fatkhan.Web.Id/. 2017.</w:t>
      </w:r>
    </w:p>
    <w:p w14:paraId="0F1DF241"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Indrawati, Suci, Edy Herianto, and Dahlan Dahlan. 2019. “ASPEK PENDIDIKAN NILAI PANCASILA DALAM PERKAWINAN ADAT MBOJO (Studi Di Desa Soro Kecamatan Kempo Kabupaten Dompu).” </w:t>
      </w:r>
      <w:r w:rsidRPr="00D64370">
        <w:rPr>
          <w:rFonts w:ascii="Adobe Garamond Pro" w:hAnsi="Adobe Garamond Pro"/>
          <w:i/>
          <w:iCs/>
          <w:noProof/>
          <w:szCs w:val="24"/>
        </w:rPr>
        <w:t>Jurnal Pendidikan Sosial Keberagaman</w:t>
      </w:r>
      <w:r w:rsidRPr="00D64370">
        <w:rPr>
          <w:rFonts w:ascii="Adobe Garamond Pro" w:hAnsi="Adobe Garamond Pro"/>
          <w:noProof/>
          <w:szCs w:val="24"/>
        </w:rPr>
        <w:t>. https://doi.org/10.29303/juridiksiam.v6i1.89.</w:t>
      </w:r>
    </w:p>
    <w:p w14:paraId="0AE35240"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Karuru, Perdy. 2013. “Pentingya Kajian Pustaka Dalam Penelitian.” </w:t>
      </w:r>
      <w:r w:rsidRPr="00D64370">
        <w:rPr>
          <w:rFonts w:ascii="Adobe Garamond Pro" w:hAnsi="Adobe Garamond Pro"/>
          <w:i/>
          <w:iCs/>
          <w:noProof/>
          <w:szCs w:val="24"/>
        </w:rPr>
        <w:t>Jurnal Keguruan Dan Ilmu Pendidikan</w:t>
      </w:r>
      <w:r w:rsidRPr="00D64370">
        <w:rPr>
          <w:rFonts w:ascii="Adobe Garamond Pro" w:hAnsi="Adobe Garamond Pro"/>
          <w:noProof/>
          <w:szCs w:val="24"/>
        </w:rPr>
        <w:t>.</w:t>
      </w:r>
    </w:p>
    <w:p w14:paraId="4DD7224A"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Muhajarah, Kurnia. 2018. “AKIBAT HUKUM PERCERAIAN BAGI ANAK DAN ISTRI YANG DISEBABKAN OLEH KEKERASAN DALAM RUMAH TANGGA: Studi Kasus Di Pengadilan Tinggi Agama Semarang.” </w:t>
      </w:r>
      <w:r w:rsidRPr="00D64370">
        <w:rPr>
          <w:rFonts w:ascii="Adobe Garamond Pro" w:hAnsi="Adobe Garamond Pro"/>
          <w:i/>
          <w:iCs/>
          <w:noProof/>
          <w:szCs w:val="24"/>
        </w:rPr>
        <w:t>Sawwa: Jurnal Studi Gender</w:t>
      </w:r>
      <w:r w:rsidRPr="00D64370">
        <w:rPr>
          <w:rFonts w:ascii="Adobe Garamond Pro" w:hAnsi="Adobe Garamond Pro"/>
          <w:noProof/>
          <w:szCs w:val="24"/>
        </w:rPr>
        <w:t>. https://doi.org/10.21580/sa.v12i3.2092.</w:t>
      </w:r>
    </w:p>
    <w:p w14:paraId="514B3DD5"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Munthe, Riswan, and Sri Hidayani. 2017. “Kajian Yuridis Permohonan Itsbat Nikah Pada Pengadilan Agama Medan.” </w:t>
      </w:r>
      <w:r w:rsidRPr="00D64370">
        <w:rPr>
          <w:rFonts w:ascii="Adobe Garamond Pro" w:hAnsi="Adobe Garamond Pro"/>
          <w:i/>
          <w:iCs/>
          <w:noProof/>
          <w:szCs w:val="24"/>
        </w:rPr>
        <w:t>JUPIIS: JURNAL PENDIDIKAN ILMU-ILMU SOSIAL</w:t>
      </w:r>
      <w:r w:rsidRPr="00D64370">
        <w:rPr>
          <w:rFonts w:ascii="Adobe Garamond Pro" w:hAnsi="Adobe Garamond Pro"/>
          <w:noProof/>
          <w:szCs w:val="24"/>
        </w:rPr>
        <w:t>. https://doi.org/10.24114/jupiis.v9i2.8240.</w:t>
      </w:r>
    </w:p>
    <w:p w14:paraId="4E90031F"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Murdan. 2016. “Harmonisasi Hukum Adat, Agama, Dan Negara Dalam Budaya Perkawinan Masyarakat Islam Indonesia Belakangan.” </w:t>
      </w:r>
      <w:r w:rsidRPr="00D64370">
        <w:rPr>
          <w:rFonts w:ascii="Adobe Garamond Pro" w:hAnsi="Adobe Garamond Pro"/>
          <w:i/>
          <w:iCs/>
          <w:noProof/>
          <w:szCs w:val="24"/>
        </w:rPr>
        <w:t>Jurnal Ilmu Syari’ah Dan Hukum</w:t>
      </w:r>
      <w:r w:rsidRPr="00D64370">
        <w:rPr>
          <w:rFonts w:ascii="Adobe Garamond Pro" w:hAnsi="Adobe Garamond Pro"/>
          <w:noProof/>
          <w:szCs w:val="24"/>
        </w:rPr>
        <w:t>.</w:t>
      </w:r>
    </w:p>
    <w:p w14:paraId="05D4A7F0"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Nurkamto, Joko. 2020. </w:t>
      </w:r>
      <w:r w:rsidRPr="00D64370">
        <w:rPr>
          <w:rFonts w:ascii="Adobe Garamond Pro" w:hAnsi="Adobe Garamond Pro"/>
          <w:i/>
          <w:iCs/>
          <w:noProof/>
          <w:szCs w:val="24"/>
        </w:rPr>
        <w:t>KAJIAN PUSTAKA DALAM PENELITIAN KUALITATIF 1</w:t>
      </w:r>
      <w:r w:rsidRPr="00D64370">
        <w:rPr>
          <w:rFonts w:ascii="Adobe Garamond Pro" w:hAnsi="Adobe Garamond Pro"/>
          <w:noProof/>
          <w:szCs w:val="24"/>
        </w:rPr>
        <w:t xml:space="preserve">. </w:t>
      </w:r>
      <w:r w:rsidRPr="00D64370">
        <w:rPr>
          <w:rFonts w:ascii="Adobe Garamond Pro" w:hAnsi="Adobe Garamond Pro"/>
          <w:i/>
          <w:iCs/>
          <w:noProof/>
          <w:szCs w:val="24"/>
        </w:rPr>
        <w:t>Bahan Ajar Bahasa Dan Sastra Di Era Milenial</w:t>
      </w:r>
      <w:r w:rsidRPr="00D64370">
        <w:rPr>
          <w:rFonts w:ascii="Adobe Garamond Pro" w:hAnsi="Adobe Garamond Pro"/>
          <w:noProof/>
          <w:szCs w:val="24"/>
        </w:rPr>
        <w:t>.</w:t>
      </w:r>
    </w:p>
    <w:p w14:paraId="4A3B5656"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Pesak, Ellen, Jon Welliam Tangka, and . Bongakaraeng. 2020. “Analisis Kualitatif Budaya Minahasa Dalam Perkawinan Dini Dan Implikasinya Terhadap Kehidupan Keluarga.” </w:t>
      </w:r>
      <w:r w:rsidRPr="00D64370">
        <w:rPr>
          <w:rFonts w:ascii="Adobe Garamond Pro" w:hAnsi="Adobe Garamond Pro"/>
          <w:i/>
          <w:iCs/>
          <w:noProof/>
          <w:szCs w:val="24"/>
        </w:rPr>
        <w:t>JIDAN (Jurnal Ilmiah Bidan)</w:t>
      </w:r>
      <w:r w:rsidRPr="00D64370">
        <w:rPr>
          <w:rFonts w:ascii="Adobe Garamond Pro" w:hAnsi="Adobe Garamond Pro"/>
          <w:noProof/>
          <w:szCs w:val="24"/>
        </w:rPr>
        <w:t>. https://doi.org/10.47718/jib.v7i2.1142.</w:t>
      </w:r>
    </w:p>
    <w:p w14:paraId="616C0B44"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Pratamawaty, Benazir Bona. 2017. “Potensi Konflik Perkawinan Lintas Budaya Perempuan Indonesia Dan Laki-Laki Bule.” </w:t>
      </w:r>
      <w:r w:rsidRPr="00D64370">
        <w:rPr>
          <w:rFonts w:ascii="Adobe Garamond Pro" w:hAnsi="Adobe Garamond Pro"/>
          <w:i/>
          <w:iCs/>
          <w:noProof/>
          <w:szCs w:val="24"/>
        </w:rPr>
        <w:t>Kafa`ah: Journal of Gender Studies</w:t>
      </w:r>
      <w:r w:rsidRPr="00D64370">
        <w:rPr>
          <w:rFonts w:ascii="Adobe Garamond Pro" w:hAnsi="Adobe Garamond Pro"/>
          <w:noProof/>
          <w:szCs w:val="24"/>
        </w:rPr>
        <w:t>. https://doi.org/10.15548/jk.v7i1.166.</w:t>
      </w:r>
    </w:p>
    <w:p w14:paraId="08F90A5F"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Purwanto, Erwan Agus. 2017. “Metode Penelitian Kuantitatif.” </w:t>
      </w:r>
      <w:r w:rsidRPr="00D64370">
        <w:rPr>
          <w:rFonts w:ascii="Adobe Garamond Pro" w:hAnsi="Adobe Garamond Pro"/>
          <w:i/>
          <w:iCs/>
          <w:noProof/>
          <w:szCs w:val="24"/>
        </w:rPr>
        <w:t>Tajdidukasi: Jurnal Penelitian Dan Kajian</w:t>
      </w:r>
      <w:r w:rsidRPr="00D64370">
        <w:rPr>
          <w:rFonts w:ascii="Adobe Garamond Pro" w:hAnsi="Adobe Garamond Pro"/>
          <w:noProof/>
          <w:szCs w:val="24"/>
        </w:rPr>
        <w:t>. https://doi.org/10.47736/tajdidukasi.v9i1.16.</w:t>
      </w:r>
    </w:p>
    <w:p w14:paraId="550F89BF"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Qaidar, Annurul, and Nur Annisah. 2018. “Proses Akulturasi Budaya Melalui Perkawinan Campuran Suku Jawa - Gayo Di Desa Jeget Ayu Kecamatan Jagong Jeget Kab. Aceh Tengah.” </w:t>
      </w:r>
      <w:r w:rsidRPr="00D64370">
        <w:rPr>
          <w:rFonts w:ascii="Adobe Garamond Pro" w:hAnsi="Adobe Garamond Pro"/>
          <w:i/>
          <w:iCs/>
          <w:noProof/>
          <w:szCs w:val="24"/>
        </w:rPr>
        <w:t>Jurnal Ilmiah Mahasiswa FISIP Unsyiah</w:t>
      </w:r>
      <w:r w:rsidRPr="00D64370">
        <w:rPr>
          <w:rFonts w:ascii="Adobe Garamond Pro" w:hAnsi="Adobe Garamond Pro"/>
          <w:noProof/>
          <w:szCs w:val="24"/>
        </w:rPr>
        <w:t>.</w:t>
      </w:r>
    </w:p>
    <w:p w14:paraId="502436CF"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Rahmi, Nailur, and Rinta Okta Henny. 2020. “Sanksi Adat Tentang Larangan Perkawinan Terhadap Orang Sesuku Dengan Pelaku Zina.” </w:t>
      </w:r>
      <w:r w:rsidRPr="00D64370">
        <w:rPr>
          <w:rFonts w:ascii="Adobe Garamond Pro" w:hAnsi="Adobe Garamond Pro"/>
          <w:i/>
          <w:iCs/>
          <w:noProof/>
          <w:szCs w:val="24"/>
        </w:rPr>
        <w:t>Al-Istinbath : Jurnal Hukum Islam</w:t>
      </w:r>
      <w:r w:rsidRPr="00D64370">
        <w:rPr>
          <w:rFonts w:ascii="Adobe Garamond Pro" w:hAnsi="Adobe Garamond Pro"/>
          <w:noProof/>
          <w:szCs w:val="24"/>
        </w:rPr>
        <w:t xml:space="preserve">. </w:t>
      </w:r>
      <w:r w:rsidRPr="00D64370">
        <w:rPr>
          <w:rFonts w:ascii="Adobe Garamond Pro" w:hAnsi="Adobe Garamond Pro"/>
          <w:noProof/>
          <w:szCs w:val="24"/>
        </w:rPr>
        <w:lastRenderedPageBreak/>
        <w:t>https://doi.org/10.29240/jhi.v5i2.1525.</w:t>
      </w:r>
    </w:p>
    <w:p w14:paraId="1857758C"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Suhaimar, Lisa, and Susi Fitria Dewi. 2018. “Akulturasi Budaya Pada Perkawinan Etnis Mandailing Dan Minangkabau Di Nagari Sontang.” </w:t>
      </w:r>
      <w:r w:rsidRPr="00D64370">
        <w:rPr>
          <w:rFonts w:ascii="Adobe Garamond Pro" w:hAnsi="Adobe Garamond Pro"/>
          <w:i/>
          <w:iCs/>
          <w:noProof/>
          <w:szCs w:val="24"/>
        </w:rPr>
        <w:t>Journal of Civic Education</w:t>
      </w:r>
      <w:r w:rsidRPr="00D64370">
        <w:rPr>
          <w:rFonts w:ascii="Adobe Garamond Pro" w:hAnsi="Adobe Garamond Pro"/>
          <w:noProof/>
          <w:szCs w:val="24"/>
        </w:rPr>
        <w:t>. https://doi.org/10.24036/jce.v1i2.218.</w:t>
      </w:r>
    </w:p>
    <w:p w14:paraId="6E45473C"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szCs w:val="24"/>
        </w:rPr>
      </w:pPr>
      <w:r w:rsidRPr="00D64370">
        <w:rPr>
          <w:rFonts w:ascii="Adobe Garamond Pro" w:hAnsi="Adobe Garamond Pro"/>
          <w:noProof/>
          <w:szCs w:val="24"/>
        </w:rPr>
        <w:t xml:space="preserve">Syahraeni, A. 2014. “Konseling Perkawinan / Keluarga Islami.” </w:t>
      </w:r>
      <w:r w:rsidRPr="00D64370">
        <w:rPr>
          <w:rFonts w:ascii="Adobe Garamond Pro" w:hAnsi="Adobe Garamond Pro"/>
          <w:i/>
          <w:iCs/>
          <w:noProof/>
          <w:szCs w:val="24"/>
        </w:rPr>
        <w:t>Al-Irsyad Al-Nafs</w:t>
      </w:r>
      <w:r w:rsidRPr="00D64370">
        <w:rPr>
          <w:rFonts w:ascii="Adobe Garamond Pro" w:hAnsi="Adobe Garamond Pro"/>
          <w:noProof/>
          <w:szCs w:val="24"/>
        </w:rPr>
        <w:t>.</w:t>
      </w:r>
    </w:p>
    <w:p w14:paraId="72CABEA8" w14:textId="77777777" w:rsidR="00D64370" w:rsidRPr="00D64370" w:rsidRDefault="00D64370" w:rsidP="00D64370">
      <w:pPr>
        <w:widowControl w:val="0"/>
        <w:autoSpaceDE w:val="0"/>
        <w:autoSpaceDN w:val="0"/>
        <w:adjustRightInd w:val="0"/>
        <w:spacing w:after="120" w:line="240" w:lineRule="auto"/>
        <w:ind w:left="480" w:hanging="480"/>
        <w:jc w:val="both"/>
        <w:rPr>
          <w:rFonts w:ascii="Adobe Garamond Pro" w:hAnsi="Adobe Garamond Pro"/>
          <w:noProof/>
        </w:rPr>
      </w:pPr>
      <w:r w:rsidRPr="00D64370">
        <w:rPr>
          <w:rFonts w:ascii="Adobe Garamond Pro" w:hAnsi="Adobe Garamond Pro"/>
          <w:noProof/>
          <w:szCs w:val="24"/>
        </w:rPr>
        <w:t xml:space="preserve">“TINJAUAN YURIDIS MENGENAI KAWIN KONTRAK SERTA AKIBAT HUKUMNYA TERHADAP ISTRI DAN ANAKNYA.” 2014. </w:t>
      </w:r>
      <w:r w:rsidRPr="00D64370">
        <w:rPr>
          <w:rFonts w:ascii="Adobe Garamond Pro" w:hAnsi="Adobe Garamond Pro"/>
          <w:i/>
          <w:iCs/>
          <w:noProof/>
          <w:szCs w:val="24"/>
        </w:rPr>
        <w:t>Unnes of Law Journal - Jurnal Hukum Universitas Semarang</w:t>
      </w:r>
      <w:r w:rsidRPr="00D64370">
        <w:rPr>
          <w:rFonts w:ascii="Adobe Garamond Pro" w:hAnsi="Adobe Garamond Pro"/>
          <w:noProof/>
          <w:szCs w:val="24"/>
        </w:rPr>
        <w:t>. https://doi.org/10.15294/ulj.v3i1.3630.</w:t>
      </w:r>
    </w:p>
    <w:p w14:paraId="1C227198" w14:textId="53513661" w:rsidR="00ED61F6" w:rsidRPr="006E07B2" w:rsidRDefault="00D64370" w:rsidP="00D64370">
      <w:pPr>
        <w:pStyle w:val="BodyText"/>
        <w:rPr>
          <w:lang w:val="id-ID"/>
        </w:rPr>
      </w:pPr>
      <w:r>
        <w:rPr>
          <w:lang w:val="id-ID"/>
        </w:rPr>
        <w:fldChar w:fldCharType="end"/>
      </w:r>
    </w:p>
    <w:sectPr w:rsidR="00ED61F6" w:rsidRPr="006E07B2" w:rsidSect="001513A4">
      <w:headerReference w:type="even" r:id="rId13"/>
      <w:headerReference w:type="default" r:id="rId14"/>
      <w:footerReference w:type="even" r:id="rId15"/>
      <w:footerReference w:type="default" r:id="rId16"/>
      <w:headerReference w:type="first" r:id="rId17"/>
      <w:footerReference w:type="first" r:id="rId18"/>
      <w:pgSz w:w="11907" w:h="16840" w:code="9"/>
      <w:pgMar w:top="1276" w:right="1418" w:bottom="1418" w:left="1701" w:header="737"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7F155F" w14:textId="77777777" w:rsidR="00106C7F" w:rsidRDefault="00106C7F" w:rsidP="001D3718">
      <w:pPr>
        <w:spacing w:after="0" w:line="240" w:lineRule="auto"/>
      </w:pPr>
      <w:r>
        <w:separator/>
      </w:r>
    </w:p>
  </w:endnote>
  <w:endnote w:type="continuationSeparator" w:id="0">
    <w:p w14:paraId="74998316" w14:textId="77777777" w:rsidR="00106C7F" w:rsidRDefault="00106C7F"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Junicode">
    <w:altName w:val="Times New Roman"/>
    <w:charset w:val="00"/>
    <w:family w:val="auto"/>
    <w:pitch w:val="variable"/>
    <w:sig w:usb0="E40000FF"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altName w:val="Yu Gothic"/>
    <w:panose1 w:val="00000000000000000000"/>
    <w:charset w:val="80"/>
    <w:family w:val="roman"/>
    <w:notTrueType/>
    <w:pitch w:val="variable"/>
    <w:sig w:usb0="00000203" w:usb1="29D72C10" w:usb2="00000010" w:usb3="00000000" w:csb0="002A0005" w:csb1="00000000"/>
  </w:font>
  <w:font w:name="Rockwell">
    <w:charset w:val="00"/>
    <w:family w:val="roman"/>
    <w:pitch w:val="variable"/>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aur">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469D0" w14:textId="77777777" w:rsidR="00006196" w:rsidRPr="00D55AC4" w:rsidRDefault="00006196" w:rsidP="00006196">
    <w:pPr>
      <w:pStyle w:val="Footer"/>
      <w:tabs>
        <w:tab w:val="clear" w:pos="4680"/>
        <w:tab w:val="center" w:pos="4395"/>
      </w:tabs>
      <w:jc w:val="center"/>
      <w:rPr>
        <w:rFonts w:ascii="Centaur" w:hAnsi="Centaur"/>
        <w:i/>
        <w:noProof/>
        <w:color w:val="000000"/>
        <w:sz w:val="18"/>
        <w:szCs w:val="18"/>
      </w:rPr>
    </w:pPr>
    <w:r w:rsidRPr="002F4D4A">
      <w:rPr>
        <w:i/>
        <w:noProof/>
        <w:lang w:eastAsia="zh-CN"/>
      </w:rPr>
      <mc:AlternateContent>
        <mc:Choice Requires="wps">
          <w:drawing>
            <wp:anchor distT="4294967295" distB="4294967295" distL="114300" distR="114300" simplePos="0" relativeHeight="251665408" behindDoc="0" locked="0" layoutInCell="1" allowOverlap="1" wp14:anchorId="0FFE7D8F" wp14:editId="3123A301">
              <wp:simplePos x="0" y="0"/>
              <wp:positionH relativeFrom="column">
                <wp:posOffset>0</wp:posOffset>
              </wp:positionH>
              <wp:positionV relativeFrom="paragraph">
                <wp:posOffset>-117476</wp:posOffset>
              </wp:positionV>
              <wp:extent cx="56083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6FF789"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" strokecolor="#5b9bd5 [3204]" strokeweight="1.5pt">
              <v:stroke joinstyle="miter"/>
              <o:lock v:ext="edit" shapetype="f"/>
            </v:line>
          </w:pict>
        </mc:Fallback>
      </mc:AlternateContent>
    </w:r>
    <w:r w:rsidRPr="002F4D4A">
      <w:rPr>
        <w:rFonts w:ascii="Centaur" w:hAnsi="Centaur"/>
        <w:i/>
        <w:noProof/>
        <w:color w:val="000000"/>
        <w:sz w:val="18"/>
        <w:szCs w:val="18"/>
        <w:lang w:val="id-ID"/>
      </w:rPr>
      <w:t>First Author</w:t>
    </w:r>
    <w:r w:rsidRPr="00230196">
      <w:rPr>
        <w:rFonts w:ascii="Centaur" w:hAnsi="Centaur"/>
        <w:noProof/>
        <w:color w:val="000000"/>
        <w:sz w:val="18"/>
        <w:szCs w:val="18"/>
        <w:lang w:val="id-ID"/>
      </w:rPr>
      <w:t xml:space="preserve"> </w:t>
    </w:r>
    <w:r w:rsidRPr="00230196">
      <w:rPr>
        <w:rFonts w:ascii="Centaur" w:hAnsi="Centaur"/>
        <w:i/>
        <w:noProof/>
        <w:color w:val="000000"/>
        <w:sz w:val="18"/>
        <w:szCs w:val="18"/>
        <w:lang w:val="id-ID"/>
      </w:rPr>
      <w:t>et al.</w:t>
    </w:r>
    <w:r w:rsidRPr="00D55AC4">
      <w:rPr>
        <w:rFonts w:ascii="Centaur" w:hAnsi="Centaur"/>
        <w:i/>
        <w:noProof/>
        <w:color w:val="000000"/>
        <w:sz w:val="18"/>
        <w:szCs w:val="18"/>
        <w:lang w:val="id-ID"/>
      </w:rPr>
      <w:t xml:space="preserve"> </w:t>
    </w:r>
    <w:r w:rsidRPr="00230196">
      <w:rPr>
        <w:rFonts w:ascii="Centaur" w:hAnsi="Centaur"/>
        <w:noProof/>
        <w:color w:val="000000"/>
        <w:sz w:val="18"/>
        <w:szCs w:val="18"/>
      </w:rPr>
      <w:t>(</w:t>
    </w:r>
    <w:r w:rsidRPr="002F4D4A">
      <w:rPr>
        <w:rFonts w:ascii="Centaur" w:hAnsi="Centaur"/>
        <w:i/>
        <w:noProof/>
        <w:color w:val="000000"/>
        <w:sz w:val="18"/>
        <w:szCs w:val="18"/>
        <w:lang w:val="id-ID"/>
      </w:rPr>
      <w:t>Title of Paper Shortly</w:t>
    </w:r>
    <w:r w:rsidR="002F4D4A">
      <w:rPr>
        <w:rFonts w:ascii="Centaur" w:hAnsi="Centaur"/>
        <w:noProof/>
        <w:color w:val="000000"/>
        <w:sz w:val="18"/>
        <w:szCs w:val="18"/>
      </w:rPr>
      <w:t>…</w:t>
    </w:r>
    <w:r w:rsidRPr="00230196">
      <w:rPr>
        <w:rFonts w:ascii="Centaur" w:hAnsi="Centaur"/>
        <w:noProof/>
        <w:color w:val="000000"/>
        <w:sz w:val="18"/>
        <w:szCs w:val="18"/>
      </w:rPr>
      <w:t>)</w:t>
    </w:r>
  </w:p>
  <w:p w14:paraId="400C4035" w14:textId="77777777" w:rsidR="006E1E83" w:rsidRPr="004178F0" w:rsidRDefault="006E1E83" w:rsidP="00313BD4">
    <w:pPr>
      <w:pStyle w:val="Footer"/>
      <w:tabs>
        <w:tab w:val="clear" w:pos="4680"/>
        <w:tab w:val="center" w:pos="4395"/>
      </w:tabs>
      <w:rPr>
        <w:rFonts w:ascii="Centaur" w:hAnsi="Centaur"/>
        <w:i/>
        <w:noProof/>
        <w:color w:val="C00000"/>
        <w:sz w:val="18"/>
        <w:szCs w:val="18"/>
      </w:rPr>
    </w:pPr>
    <w:r w:rsidRPr="00CB1011">
      <w:rPr>
        <w:rFonts w:ascii="Centaur" w:hAnsi="Centau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340EE" w14:textId="77777777" w:rsidR="000A4079" w:rsidRPr="00D55AC4" w:rsidRDefault="00C0600A" w:rsidP="000A4079">
    <w:pPr>
      <w:pStyle w:val="Footer"/>
      <w:tabs>
        <w:tab w:val="clear" w:pos="4680"/>
        <w:tab w:val="center" w:pos="4395"/>
      </w:tabs>
      <w:jc w:val="center"/>
      <w:rPr>
        <w:rFonts w:ascii="Centaur" w:hAnsi="Centaur"/>
        <w:i/>
        <w:noProof/>
        <w:color w:val="000000"/>
        <w:sz w:val="18"/>
        <w:szCs w:val="18"/>
      </w:rPr>
    </w:pPr>
    <w:r w:rsidRPr="00D526B5">
      <w:rPr>
        <w:i/>
        <w:noProof/>
        <w:lang w:eastAsia="zh-CN"/>
      </w:rPr>
      <mc:AlternateContent>
        <mc:Choice Requires="wps">
          <w:drawing>
            <wp:anchor distT="4294967295" distB="4294967295" distL="114300" distR="114300" simplePos="0" relativeHeight="251657216" behindDoc="0" locked="0" layoutInCell="1" allowOverlap="1" wp14:anchorId="3F311EDA" wp14:editId="5A796198">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5C7AA8"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" strokecolor="#5b9bd5 [3204]" strokeweight="1.5pt">
              <v:stroke joinstyle="miter"/>
              <o:lock v:ext="edit" shapetype="f"/>
            </v:line>
          </w:pict>
        </mc:Fallback>
      </mc:AlternateContent>
    </w:r>
    <w:r w:rsidR="000A4079" w:rsidRPr="00D526B5">
      <w:rPr>
        <w:rFonts w:ascii="Centaur" w:hAnsi="Centaur"/>
        <w:i/>
        <w:noProof/>
        <w:color w:val="000000"/>
        <w:sz w:val="18"/>
        <w:szCs w:val="18"/>
        <w:lang w:val="id-ID"/>
      </w:rPr>
      <w:t>First Author</w:t>
    </w:r>
    <w:r w:rsidR="000A4079" w:rsidRPr="00230196">
      <w:rPr>
        <w:rFonts w:ascii="Centaur" w:hAnsi="Centaur"/>
        <w:noProof/>
        <w:color w:val="000000"/>
        <w:sz w:val="18"/>
        <w:szCs w:val="18"/>
        <w:lang w:val="id-ID"/>
      </w:rPr>
      <w:t xml:space="preserve"> </w:t>
    </w:r>
    <w:r w:rsidR="000A4079" w:rsidRPr="00230196">
      <w:rPr>
        <w:rFonts w:ascii="Centaur" w:hAnsi="Centaur"/>
        <w:i/>
        <w:noProof/>
        <w:color w:val="000000"/>
        <w:sz w:val="18"/>
        <w:szCs w:val="18"/>
        <w:lang w:val="id-ID"/>
      </w:rPr>
      <w:t>et al.</w:t>
    </w:r>
    <w:r w:rsidR="000A4079" w:rsidRPr="00D55AC4">
      <w:rPr>
        <w:rFonts w:ascii="Centaur" w:hAnsi="Centaur"/>
        <w:i/>
        <w:noProof/>
        <w:color w:val="000000"/>
        <w:sz w:val="18"/>
        <w:szCs w:val="18"/>
        <w:lang w:val="id-ID"/>
      </w:rPr>
      <w:t xml:space="preserve"> </w:t>
    </w:r>
    <w:r w:rsidR="000A4079" w:rsidRPr="00230196">
      <w:rPr>
        <w:rFonts w:ascii="Centaur" w:hAnsi="Centaur"/>
        <w:noProof/>
        <w:color w:val="000000"/>
        <w:sz w:val="18"/>
        <w:szCs w:val="18"/>
      </w:rPr>
      <w:t>(</w:t>
    </w:r>
    <w:r w:rsidR="000A4079" w:rsidRPr="00D526B5">
      <w:rPr>
        <w:rFonts w:ascii="Centaur" w:hAnsi="Centaur"/>
        <w:i/>
        <w:noProof/>
        <w:color w:val="000000"/>
        <w:sz w:val="18"/>
        <w:szCs w:val="18"/>
        <w:lang w:val="id-ID"/>
      </w:rPr>
      <w:t>Title of Paper Shortly</w:t>
    </w:r>
    <w:r w:rsidR="00D526B5">
      <w:rPr>
        <w:rFonts w:ascii="Centaur" w:hAnsi="Centaur"/>
        <w:noProof/>
        <w:color w:val="000000"/>
        <w:sz w:val="18"/>
        <w:szCs w:val="18"/>
      </w:rPr>
      <w:t>…</w:t>
    </w:r>
    <w:r w:rsidR="000A4079" w:rsidRPr="00230196">
      <w:rPr>
        <w:rFonts w:ascii="Centaur" w:hAnsi="Centaur"/>
        <w:noProof/>
        <w:color w:val="000000"/>
        <w:sz w:val="18"/>
        <w:szCs w:val="18"/>
      </w:rPr>
      <w:t>)</w:t>
    </w:r>
  </w:p>
  <w:p w14:paraId="1E2EB29F" w14:textId="77777777" w:rsidR="000A4079" w:rsidRPr="004178F0" w:rsidRDefault="000A4079" w:rsidP="004178F0">
    <w:pPr>
      <w:pStyle w:val="Footer"/>
      <w:tabs>
        <w:tab w:val="clear" w:pos="4680"/>
        <w:tab w:val="center" w:pos="4395"/>
      </w:tabs>
      <w:rPr>
        <w:rFonts w:ascii="Centaur" w:hAnsi="Centaur"/>
        <w:i/>
        <w:noProof/>
        <w:color w:val="C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BF184" w14:textId="77777777" w:rsidR="001F3CC7" w:rsidRPr="00A94C3D" w:rsidRDefault="00D21D37" w:rsidP="00F67688">
    <w:pPr>
      <w:pStyle w:val="Footer"/>
      <w:tabs>
        <w:tab w:val="left" w:pos="567"/>
        <w:tab w:val="left" w:pos="6946"/>
      </w:tabs>
      <w:ind w:right="-1" w:firstLine="426"/>
    </w:pPr>
    <w:r w:rsidRPr="00F67688">
      <w:rPr>
        <w:noProof/>
        <w:sz w:val="20"/>
        <w:szCs w:val="20"/>
        <w:lang w:eastAsia="zh-CN"/>
      </w:rPr>
      <w:drawing>
        <wp:anchor distT="0" distB="0" distL="114300" distR="114300" simplePos="0" relativeHeight="251661312" behindDoc="0" locked="0" layoutInCell="1" allowOverlap="1" wp14:anchorId="7B06E14D" wp14:editId="51FE2F6C">
          <wp:simplePos x="0" y="0"/>
          <wp:positionH relativeFrom="column">
            <wp:posOffset>3953510</wp:posOffset>
          </wp:positionH>
          <wp:positionV relativeFrom="paragraph">
            <wp:posOffset>-17780</wp:posOffset>
          </wp:positionV>
          <wp:extent cx="213360" cy="2070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 cy="207010"/>
                  </a:xfrm>
                  <a:prstGeom prst="rect">
                    <a:avLst/>
                  </a:prstGeom>
                  <a:noFill/>
                </pic:spPr>
              </pic:pic>
            </a:graphicData>
          </a:graphic>
          <wp14:sizeRelH relativeFrom="page">
            <wp14:pctWidth>0</wp14:pctWidth>
          </wp14:sizeRelH>
          <wp14:sizeRelV relativeFrom="page">
            <wp14:pctHeight>0</wp14:pctHeight>
          </wp14:sizeRelV>
        </wp:anchor>
      </w:drawing>
    </w:r>
    <w:r w:rsidR="00462AB1" w:rsidRPr="00F67688">
      <w:rPr>
        <w:noProof/>
        <w:sz w:val="20"/>
        <w:szCs w:val="20"/>
        <w:lang w:eastAsia="zh-CN"/>
      </w:rPr>
      <w:drawing>
        <wp:anchor distT="0" distB="0" distL="114300" distR="114300" simplePos="0" relativeHeight="251659264" behindDoc="0" locked="0" layoutInCell="1" allowOverlap="1" wp14:anchorId="1F6E242B" wp14:editId="5F6E489B">
          <wp:simplePos x="0" y="0"/>
          <wp:positionH relativeFrom="column">
            <wp:posOffset>53340</wp:posOffset>
          </wp:positionH>
          <wp:positionV relativeFrom="paragraph">
            <wp:posOffset>-17780</wp:posOffset>
          </wp:positionV>
          <wp:extent cx="179070" cy="187960"/>
          <wp:effectExtent l="0" t="0" r="0" b="2540"/>
          <wp:wrapNone/>
          <wp:docPr id="17" name="Picture 11" descr="http://ijain.org/files/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jain.org/files/do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 cy="18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00A" w:rsidRPr="00F67688">
      <w:rPr>
        <w:noProof/>
        <w:sz w:val="20"/>
        <w:szCs w:val="20"/>
        <w:lang w:eastAsia="zh-CN"/>
      </w:rPr>
      <mc:AlternateContent>
        <mc:Choice Requires="wps">
          <w:drawing>
            <wp:anchor distT="4294967295" distB="4294967295" distL="114300" distR="114300" simplePos="0" relativeHeight="251655168" behindDoc="0" locked="0" layoutInCell="1" allowOverlap="1" wp14:anchorId="24E44AFC" wp14:editId="651D75DE">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9234499"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" strokecolor="#5b9bd5 [3204]" strokeweight="1.5pt">
              <v:stroke joinstyle="miter"/>
              <o:lock v:ext="edit" shapetype="f"/>
            </v:line>
          </w:pict>
        </mc:Fallback>
      </mc:AlternateContent>
    </w:r>
    <w:r w:rsidR="0020556C" w:rsidRPr="0020556C">
      <w:rPr>
        <w:noProof/>
        <w:sz w:val="20"/>
        <w:szCs w:val="20"/>
        <w:lang w:eastAsia="zh-CN"/>
      </w:rPr>
      <w:t xml:space="preserve"> 10.32585/advice.v2i2.</w:t>
    </w:r>
    <w:r w:rsidR="0020556C">
      <w:rPr>
        <w:noProof/>
        <w:sz w:val="20"/>
        <w:szCs w:val="20"/>
        <w:lang w:eastAsia="zh-CN"/>
      </w:rPr>
      <w:t xml:space="preserve">xxx        </w:t>
    </w:r>
    <w:r w:rsidR="00F67688">
      <w:rPr>
        <w:noProof/>
        <w:sz w:val="20"/>
        <w:szCs w:val="20"/>
        <w:lang w:eastAsia="zh-CN"/>
      </w:rPr>
      <w:t xml:space="preserve">                                                            </w:t>
    </w:r>
    <w:r w:rsidR="00B5281C">
      <w:rPr>
        <w:noProof/>
        <w:sz w:val="20"/>
        <w:szCs w:val="20"/>
        <w:lang w:eastAsia="zh-CN"/>
      </w:rPr>
      <w:t xml:space="preserve">                  </w:t>
    </w:r>
    <w:r w:rsidR="00F67688">
      <w:rPr>
        <w:noProof/>
        <w:sz w:val="20"/>
        <w:szCs w:val="20"/>
        <w:lang w:eastAsia="zh-CN"/>
      </w:rPr>
      <w:t xml:space="preserve">        </w:t>
    </w:r>
    <w:r w:rsidR="0020556C">
      <w:rPr>
        <w:sz w:val="18"/>
        <w:szCs w:val="18"/>
      </w:rPr>
      <w:t>advice.univetbantara</w:t>
    </w:r>
    <w:r w:rsidR="00B5281C" w:rsidRPr="00B5281C">
      <w:rPr>
        <w:sz w:val="18"/>
        <w:szCs w:val="18"/>
      </w:rPr>
      <w:t>@gmail.com</w:t>
    </w:r>
  </w:p>
  <w:p w14:paraId="484D0E59" w14:textId="77777777" w:rsidR="006E1E83" w:rsidRPr="00033E8E" w:rsidRDefault="006E1E83" w:rsidP="002E49A6">
    <w:pPr>
      <w:pStyle w:val="Footer"/>
      <w:tabs>
        <w:tab w:val="clear" w:pos="4680"/>
        <w:tab w:val="clear" w:pos="9360"/>
        <w:tab w:val="left" w:pos="7230"/>
      </w:tabs>
      <w:spacing w:after="12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1AC07" w14:textId="77777777" w:rsidR="00106C7F" w:rsidRDefault="00106C7F" w:rsidP="001D3718">
      <w:pPr>
        <w:spacing w:after="0" w:line="240" w:lineRule="auto"/>
      </w:pPr>
      <w:r>
        <w:separator/>
      </w:r>
    </w:p>
  </w:footnote>
  <w:footnote w:type="continuationSeparator" w:id="0">
    <w:p w14:paraId="6228D9DE" w14:textId="77777777" w:rsidR="00106C7F" w:rsidRDefault="00106C7F"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389"/>
      <w:gridCol w:w="4389"/>
    </w:tblGrid>
    <w:tr w:rsidR="001513A4" w14:paraId="28281E0F" w14:textId="77777777" w:rsidTr="001513A4">
      <w:trPr>
        <w:trHeight w:val="484"/>
      </w:trPr>
      <w:tc>
        <w:tcPr>
          <w:tcW w:w="4389" w:type="dxa"/>
          <w:shd w:val="clear" w:color="auto" w:fill="auto"/>
          <w:vAlign w:val="center"/>
        </w:tcPr>
        <w:p w14:paraId="3C593020" w14:textId="77777777" w:rsidR="001513A4" w:rsidRPr="001513A4" w:rsidRDefault="001513A4" w:rsidP="001513A4">
          <w:pPr>
            <w:pStyle w:val="Footer"/>
            <w:spacing w:after="0"/>
            <w:ind w:left="-114"/>
            <w:rPr>
              <w:b/>
            </w:rPr>
          </w:pPr>
          <w:r w:rsidRPr="001F3CC7">
            <w:rPr>
              <w:b/>
            </w:rPr>
            <w:fldChar w:fldCharType="begin"/>
          </w:r>
          <w:r w:rsidRPr="001F3CC7">
            <w:rPr>
              <w:b/>
            </w:rPr>
            <w:instrText xml:space="preserve"> PAGE   \* MERGEFORMAT </w:instrText>
          </w:r>
          <w:r w:rsidRPr="001F3CC7">
            <w:rPr>
              <w:b/>
            </w:rPr>
            <w:fldChar w:fldCharType="separate"/>
          </w:r>
          <w:r w:rsidR="00D526B5">
            <w:rPr>
              <w:b/>
              <w:noProof/>
            </w:rPr>
            <w:t>4</w:t>
          </w:r>
          <w:r w:rsidRPr="001F3CC7">
            <w:rPr>
              <w:b/>
              <w:noProof/>
            </w:rPr>
            <w:fldChar w:fldCharType="end"/>
          </w:r>
        </w:p>
        <w:p w14:paraId="44980368" w14:textId="77777777" w:rsidR="001513A4" w:rsidRDefault="00D21D37" w:rsidP="00D21D37">
          <w:pPr>
            <w:pStyle w:val="Header"/>
            <w:ind w:left="-110"/>
          </w:pPr>
          <w:r>
            <w:rPr>
              <w:sz w:val="16"/>
            </w:rPr>
            <w:t xml:space="preserve">ISSN </w:t>
          </w:r>
          <w:r w:rsidR="008E4504" w:rsidRPr="008E4504">
            <w:rPr>
              <w:sz w:val="16"/>
            </w:rPr>
            <w:t xml:space="preserve">2685-9130 </w:t>
          </w:r>
          <w:r>
            <w:rPr>
              <w:sz w:val="16"/>
            </w:rPr>
            <w:t xml:space="preserve">(print), </w:t>
          </w:r>
          <w:r w:rsidR="008E4504" w:rsidRPr="008E4504">
            <w:rPr>
              <w:sz w:val="16"/>
            </w:rPr>
            <w:t xml:space="preserve">2685-9122 </w:t>
          </w:r>
          <w:r w:rsidRPr="00D21D37">
            <w:rPr>
              <w:sz w:val="16"/>
            </w:rPr>
            <w:t>(online)</w:t>
          </w:r>
        </w:p>
      </w:tc>
      <w:tc>
        <w:tcPr>
          <w:tcW w:w="4389" w:type="dxa"/>
          <w:shd w:val="clear" w:color="auto" w:fill="auto"/>
          <w:vAlign w:val="bottom"/>
        </w:tcPr>
        <w:p w14:paraId="16C78713" w14:textId="77777777" w:rsidR="00E86BB7" w:rsidRPr="00E86BB7" w:rsidRDefault="0020556C" w:rsidP="001513A4">
          <w:pPr>
            <w:pStyle w:val="Header"/>
            <w:jc w:val="right"/>
            <w:rPr>
              <w:b/>
              <w:sz w:val="20"/>
              <w:szCs w:val="20"/>
              <w:lang w:val="id-ID"/>
            </w:rPr>
          </w:pPr>
          <w:r w:rsidRPr="0020556C">
            <w:rPr>
              <w:b/>
              <w:sz w:val="20"/>
            </w:rPr>
            <w:t>Advice: Jurnal Bimbingan dan Konseling</w:t>
          </w:r>
        </w:p>
        <w:p w14:paraId="7F9592A7" w14:textId="77777777" w:rsidR="001513A4" w:rsidRPr="00D21D37" w:rsidRDefault="00D21D37" w:rsidP="00B5281C">
          <w:pPr>
            <w:pStyle w:val="Header"/>
            <w:jc w:val="right"/>
            <w:rPr>
              <w:sz w:val="16"/>
            </w:rPr>
          </w:pPr>
          <w:r>
            <w:rPr>
              <w:szCs w:val="18"/>
              <w:lang w:val="id-ID"/>
            </w:rPr>
            <w:t>Vol. 3</w:t>
          </w:r>
          <w:r w:rsidR="001513A4" w:rsidRPr="00D55AC4">
            <w:rPr>
              <w:szCs w:val="18"/>
              <w:lang w:val="id-ID"/>
            </w:rPr>
            <w:t>.</w:t>
          </w:r>
          <w:r w:rsidR="001513A4" w:rsidRPr="00D55AC4">
            <w:rPr>
              <w:szCs w:val="18"/>
            </w:rPr>
            <w:t xml:space="preserve">, No. 1, </w:t>
          </w:r>
          <w:r w:rsidR="00B5281C">
            <w:rPr>
              <w:szCs w:val="18"/>
            </w:rPr>
            <w:t>June</w:t>
          </w:r>
          <w:r>
            <w:rPr>
              <w:szCs w:val="18"/>
            </w:rPr>
            <w:t xml:space="preserve"> 2021</w:t>
          </w:r>
          <w:r w:rsidR="001513A4" w:rsidRPr="00D55AC4">
            <w:rPr>
              <w:szCs w:val="18"/>
            </w:rPr>
            <w:t xml:space="preserve">, pp. </w:t>
          </w:r>
          <w:r>
            <w:rPr>
              <w:szCs w:val="18"/>
              <w:lang w:val="id-ID"/>
            </w:rPr>
            <w:t>xx</w:t>
          </w:r>
          <w:r w:rsidR="001513A4" w:rsidRPr="00D55AC4">
            <w:rPr>
              <w:szCs w:val="18"/>
            </w:rPr>
            <w:t>-</w:t>
          </w:r>
          <w:r>
            <w:rPr>
              <w:szCs w:val="18"/>
            </w:rPr>
            <w:t>xx</w:t>
          </w:r>
        </w:p>
      </w:tc>
    </w:tr>
  </w:tbl>
  <w:p w14:paraId="2615F600" w14:textId="77777777" w:rsidR="001513A4" w:rsidRPr="00F33154" w:rsidRDefault="001513A4" w:rsidP="001513A4">
    <w:pPr>
      <w:pStyle w:val="Header"/>
      <w:rPr>
        <w:rFonts w:ascii="Cambria" w:hAnsi="Cambria"/>
        <w:lang w:val="id-ID"/>
      </w:rPr>
    </w:pPr>
    <w:r>
      <w:rPr>
        <w:noProof/>
        <w:lang w:eastAsia="zh-CN"/>
      </w:rPr>
      <mc:AlternateContent>
        <mc:Choice Requires="wps">
          <w:drawing>
            <wp:anchor distT="4294967295" distB="4294967295" distL="114300" distR="114300" simplePos="0" relativeHeight="251663360" behindDoc="0" locked="0" layoutInCell="1" allowOverlap="1" wp14:anchorId="0D7B15C5" wp14:editId="45FEE8BA">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C2C5851"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" strokecolor="#5b9bd5 [3204]" strokeweight="1.5pt">
              <v:stroke joinstyle="miter"/>
              <o:lock v:ext="edit" shapetype="f"/>
            </v:line>
          </w:pict>
        </mc:Fallback>
      </mc:AlternateContent>
    </w:r>
  </w:p>
  <w:p w14:paraId="338B1B98" w14:textId="77777777" w:rsidR="006E1E83" w:rsidRPr="001513A4" w:rsidRDefault="006E1E83" w:rsidP="00151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4673"/>
      <w:gridCol w:w="4105"/>
    </w:tblGrid>
    <w:tr w:rsidR="00FA64B8" w14:paraId="3ECA0352" w14:textId="77777777" w:rsidTr="00FA64B8">
      <w:trPr>
        <w:trHeight w:val="274"/>
      </w:trPr>
      <w:tc>
        <w:tcPr>
          <w:tcW w:w="4673" w:type="dxa"/>
          <w:shd w:val="clear" w:color="auto" w:fill="auto"/>
          <w:vAlign w:val="center"/>
        </w:tcPr>
        <w:p w14:paraId="0D142EE8" w14:textId="77777777" w:rsidR="00FA64B8" w:rsidRPr="00FA64B8" w:rsidRDefault="008E4504" w:rsidP="002F4D4A">
          <w:pPr>
            <w:pStyle w:val="Namependhapa"/>
            <w:rPr>
              <w:rFonts w:ascii="Arial Narrow" w:hAnsi="Arial Narrow"/>
              <w:b/>
              <w:sz w:val="20"/>
            </w:rPr>
          </w:pPr>
          <w:r w:rsidRPr="008E4504">
            <w:rPr>
              <w:rFonts w:ascii="Arial Narrow" w:hAnsi="Arial Narrow"/>
              <w:b/>
              <w:sz w:val="20"/>
            </w:rPr>
            <w:t>Advice: Jurnal Bimbingan dan Konseling</w:t>
          </w:r>
        </w:p>
      </w:tc>
      <w:tc>
        <w:tcPr>
          <w:tcW w:w="4105" w:type="dxa"/>
          <w:vMerge w:val="restart"/>
          <w:shd w:val="clear" w:color="auto" w:fill="auto"/>
          <w:vAlign w:val="bottom"/>
        </w:tcPr>
        <w:p w14:paraId="5A582E5B" w14:textId="77777777" w:rsidR="00FA64B8" w:rsidRPr="001513A4" w:rsidRDefault="00FA64B8" w:rsidP="001513A4">
          <w:pPr>
            <w:pStyle w:val="Footer"/>
            <w:spacing w:after="0"/>
            <w:jc w:val="right"/>
            <w:rPr>
              <w:b/>
            </w:rPr>
          </w:pPr>
          <w:r w:rsidRPr="001F3CC7">
            <w:rPr>
              <w:b/>
            </w:rPr>
            <w:fldChar w:fldCharType="begin"/>
          </w:r>
          <w:r w:rsidRPr="001F3CC7">
            <w:rPr>
              <w:b/>
            </w:rPr>
            <w:instrText xml:space="preserve"> PAGE   \* MERGEFORMAT </w:instrText>
          </w:r>
          <w:r w:rsidRPr="001F3CC7">
            <w:rPr>
              <w:b/>
            </w:rPr>
            <w:fldChar w:fldCharType="separate"/>
          </w:r>
          <w:r w:rsidR="00D526B5">
            <w:rPr>
              <w:b/>
              <w:noProof/>
            </w:rPr>
            <w:t>3</w:t>
          </w:r>
          <w:r w:rsidRPr="001F3CC7">
            <w:rPr>
              <w:b/>
              <w:noProof/>
            </w:rPr>
            <w:fldChar w:fldCharType="end"/>
          </w:r>
        </w:p>
        <w:p w14:paraId="03F73C1E" w14:textId="77777777" w:rsidR="00FA64B8" w:rsidRPr="00230196" w:rsidRDefault="00D21D37" w:rsidP="00D21D37">
          <w:pPr>
            <w:pStyle w:val="Header"/>
            <w:jc w:val="right"/>
            <w:rPr>
              <w:sz w:val="16"/>
            </w:rPr>
          </w:pPr>
          <w:r>
            <w:rPr>
              <w:sz w:val="16"/>
            </w:rPr>
            <w:t xml:space="preserve">ISSN </w:t>
          </w:r>
          <w:r w:rsidR="008E4504" w:rsidRPr="008E4504">
            <w:rPr>
              <w:sz w:val="16"/>
            </w:rPr>
            <w:t xml:space="preserve">2685-9130 </w:t>
          </w:r>
          <w:r>
            <w:rPr>
              <w:sz w:val="16"/>
            </w:rPr>
            <w:t xml:space="preserve">(print), </w:t>
          </w:r>
          <w:r w:rsidR="008E4504" w:rsidRPr="008E4504">
            <w:rPr>
              <w:sz w:val="16"/>
            </w:rPr>
            <w:t xml:space="preserve">2685-9122 </w:t>
          </w:r>
          <w:r w:rsidRPr="00D21D37">
            <w:rPr>
              <w:sz w:val="16"/>
            </w:rPr>
            <w:t>(online)</w:t>
          </w:r>
        </w:p>
      </w:tc>
    </w:tr>
    <w:tr w:rsidR="00D55AC4" w14:paraId="61A6E0DB" w14:textId="77777777" w:rsidTr="00FA64B8">
      <w:tc>
        <w:tcPr>
          <w:tcW w:w="4673" w:type="dxa"/>
          <w:shd w:val="clear" w:color="auto" w:fill="auto"/>
          <w:vAlign w:val="center"/>
        </w:tcPr>
        <w:p w14:paraId="66EE3202" w14:textId="77777777" w:rsidR="00033E8E" w:rsidRPr="00D21D37" w:rsidRDefault="00033E8E" w:rsidP="002F4D4A">
          <w:pPr>
            <w:pStyle w:val="Header"/>
            <w:ind w:left="-110"/>
            <w:rPr>
              <w:szCs w:val="18"/>
            </w:rPr>
          </w:pPr>
          <w:r w:rsidRPr="00D55AC4">
            <w:rPr>
              <w:szCs w:val="18"/>
              <w:lang w:val="id-ID"/>
            </w:rPr>
            <w:t xml:space="preserve">Vol. </w:t>
          </w:r>
          <w:r w:rsidR="00D21D37">
            <w:rPr>
              <w:szCs w:val="18"/>
            </w:rPr>
            <w:t>3</w:t>
          </w:r>
          <w:r w:rsidRPr="00D55AC4">
            <w:rPr>
              <w:szCs w:val="18"/>
              <w:lang w:val="id-ID"/>
            </w:rPr>
            <w:t>.</w:t>
          </w:r>
          <w:r w:rsidRPr="00D55AC4">
            <w:rPr>
              <w:szCs w:val="18"/>
            </w:rPr>
            <w:t xml:space="preserve">, No. 1, </w:t>
          </w:r>
          <w:r w:rsidR="002F4D4A">
            <w:rPr>
              <w:szCs w:val="18"/>
            </w:rPr>
            <w:t>June</w:t>
          </w:r>
          <w:r w:rsidRPr="00D55AC4">
            <w:rPr>
              <w:szCs w:val="18"/>
            </w:rPr>
            <w:t xml:space="preserve"> 20</w:t>
          </w:r>
          <w:r w:rsidRPr="00D55AC4">
            <w:rPr>
              <w:szCs w:val="18"/>
              <w:lang w:val="id-ID"/>
            </w:rPr>
            <w:t>2</w:t>
          </w:r>
          <w:r w:rsidR="00D21D37">
            <w:rPr>
              <w:szCs w:val="18"/>
            </w:rPr>
            <w:t>1</w:t>
          </w:r>
          <w:r w:rsidRPr="00D55AC4">
            <w:rPr>
              <w:szCs w:val="18"/>
            </w:rPr>
            <w:t xml:space="preserve">, pp. </w:t>
          </w:r>
          <w:r w:rsidR="00D21D37">
            <w:rPr>
              <w:szCs w:val="18"/>
            </w:rPr>
            <w:t>xx</w:t>
          </w:r>
          <w:r w:rsidRPr="00D55AC4">
            <w:rPr>
              <w:szCs w:val="18"/>
            </w:rPr>
            <w:t>-</w:t>
          </w:r>
          <w:r w:rsidR="00D21D37">
            <w:rPr>
              <w:szCs w:val="18"/>
            </w:rPr>
            <w:t>xx</w:t>
          </w:r>
        </w:p>
      </w:tc>
      <w:tc>
        <w:tcPr>
          <w:tcW w:w="4105" w:type="dxa"/>
          <w:vMerge/>
          <w:shd w:val="clear" w:color="auto" w:fill="auto"/>
        </w:tcPr>
        <w:p w14:paraId="5B017308" w14:textId="77777777" w:rsidR="00033E8E" w:rsidRDefault="00033E8E" w:rsidP="001513A4">
          <w:pPr>
            <w:pStyle w:val="Header"/>
          </w:pPr>
        </w:p>
      </w:tc>
    </w:tr>
  </w:tbl>
  <w:p w14:paraId="5A0D216D" w14:textId="77777777" w:rsidR="006E1E83" w:rsidRPr="00F33154" w:rsidRDefault="00C0600A" w:rsidP="00F33154">
    <w:pPr>
      <w:pStyle w:val="Header"/>
      <w:rPr>
        <w:rFonts w:ascii="Cambria" w:hAnsi="Cambria"/>
        <w:lang w:val="id-ID"/>
      </w:rPr>
    </w:pPr>
    <w:r>
      <w:rPr>
        <w:noProof/>
        <w:lang w:eastAsia="zh-CN"/>
      </w:rPr>
      <mc:AlternateContent>
        <mc:Choice Requires="wps">
          <w:drawing>
            <wp:anchor distT="4294967295" distB="4294967295" distL="114300" distR="114300" simplePos="0" relativeHeight="251656192" behindDoc="0" locked="0" layoutInCell="1" allowOverlap="1" wp14:anchorId="5F331052" wp14:editId="4505F115">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45F95D"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" strokecolor="#5b9bd5 [3204]"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789" w:type="dxa"/>
      <w:tblLook w:val="04A0" w:firstRow="1" w:lastRow="0" w:firstColumn="1" w:lastColumn="0" w:noHBand="0" w:noVBand="1"/>
    </w:tblPr>
    <w:tblGrid>
      <w:gridCol w:w="7371"/>
      <w:gridCol w:w="1418"/>
    </w:tblGrid>
    <w:tr w:rsidR="00FF54B9" w:rsidRPr="00FF54B9" w14:paraId="61570CF1" w14:textId="77777777" w:rsidTr="001513A4">
      <w:trPr>
        <w:trHeight w:val="198"/>
      </w:trPr>
      <w:tc>
        <w:tcPr>
          <w:tcW w:w="7371" w:type="dxa"/>
          <w:shd w:val="clear" w:color="auto" w:fill="auto"/>
          <w:vAlign w:val="center"/>
        </w:tcPr>
        <w:p w14:paraId="5D02E822" w14:textId="77777777" w:rsidR="00FF54B9" w:rsidRPr="00492600" w:rsidRDefault="0020556C" w:rsidP="00230196">
          <w:pPr>
            <w:pStyle w:val="Namependhapa"/>
            <w:rPr>
              <w:rFonts w:ascii="Arial Narrow" w:hAnsi="Arial Narrow"/>
              <w:b/>
              <w:noProof/>
              <w:sz w:val="20"/>
              <w:lang w:val="id-ID" w:eastAsia="id-ID"/>
            </w:rPr>
          </w:pPr>
          <w:r w:rsidRPr="0020556C">
            <w:rPr>
              <w:rFonts w:ascii="Arial Narrow" w:hAnsi="Arial Narrow"/>
              <w:b/>
              <w:sz w:val="20"/>
            </w:rPr>
            <w:t>Advice: Jurnal Bimbingan dan Konseling</w:t>
          </w:r>
        </w:p>
      </w:tc>
      <w:tc>
        <w:tcPr>
          <w:tcW w:w="1418" w:type="dxa"/>
          <w:vMerge w:val="restart"/>
          <w:vAlign w:val="bottom"/>
        </w:tcPr>
        <w:p w14:paraId="53904940" w14:textId="77777777" w:rsidR="00FF54B9" w:rsidRPr="001513A4" w:rsidRDefault="001513A4" w:rsidP="001513A4">
          <w:pPr>
            <w:pStyle w:val="Footer"/>
            <w:jc w:val="right"/>
            <w:rPr>
              <w:b/>
            </w:rPr>
          </w:pPr>
          <w:r w:rsidRPr="001F3CC7">
            <w:rPr>
              <w:b/>
            </w:rPr>
            <w:fldChar w:fldCharType="begin"/>
          </w:r>
          <w:r w:rsidRPr="001F3CC7">
            <w:rPr>
              <w:b/>
            </w:rPr>
            <w:instrText xml:space="preserve"> PAGE   \* MERGEFORMAT </w:instrText>
          </w:r>
          <w:r w:rsidRPr="001F3CC7">
            <w:rPr>
              <w:b/>
            </w:rPr>
            <w:fldChar w:fldCharType="separate"/>
          </w:r>
          <w:r w:rsidR="00D526B5">
            <w:rPr>
              <w:b/>
              <w:noProof/>
            </w:rPr>
            <w:t>1</w:t>
          </w:r>
          <w:r w:rsidRPr="001F3CC7">
            <w:rPr>
              <w:b/>
              <w:noProof/>
            </w:rPr>
            <w:fldChar w:fldCharType="end"/>
          </w:r>
        </w:p>
      </w:tc>
    </w:tr>
    <w:tr w:rsidR="00FF54B9" w:rsidRPr="00642E35" w14:paraId="71571004" w14:textId="77777777" w:rsidTr="001513A4">
      <w:trPr>
        <w:trHeight w:val="327"/>
      </w:trPr>
      <w:tc>
        <w:tcPr>
          <w:tcW w:w="7371" w:type="dxa"/>
          <w:shd w:val="clear" w:color="auto" w:fill="auto"/>
          <w:vAlign w:val="center"/>
        </w:tcPr>
        <w:p w14:paraId="63985A95" w14:textId="77777777" w:rsidR="00FF54B9" w:rsidRPr="00D21D37" w:rsidRDefault="00FF54B9" w:rsidP="00CA6438">
          <w:pPr>
            <w:pStyle w:val="Header"/>
            <w:ind w:left="-108"/>
            <w:rPr>
              <w:sz w:val="16"/>
            </w:rPr>
          </w:pPr>
          <w:r w:rsidRPr="002D7760">
            <w:rPr>
              <w:sz w:val="16"/>
              <w:lang w:val="id-ID"/>
            </w:rPr>
            <w:t xml:space="preserve">Vol. </w:t>
          </w:r>
          <w:r w:rsidR="00D21D37">
            <w:rPr>
              <w:sz w:val="16"/>
            </w:rPr>
            <w:t>3</w:t>
          </w:r>
          <w:r w:rsidRPr="002D7760">
            <w:rPr>
              <w:sz w:val="16"/>
              <w:lang w:val="id-ID"/>
            </w:rPr>
            <w:t>.</w:t>
          </w:r>
          <w:r w:rsidRPr="002D7760">
            <w:rPr>
              <w:sz w:val="16"/>
            </w:rPr>
            <w:t xml:space="preserve">, No. 1, </w:t>
          </w:r>
          <w:r w:rsidR="00F67688">
            <w:rPr>
              <w:sz w:val="16"/>
              <w:lang w:val="en-GB"/>
            </w:rPr>
            <w:t>June</w:t>
          </w:r>
          <w:r w:rsidRPr="002D7760">
            <w:rPr>
              <w:sz w:val="16"/>
            </w:rPr>
            <w:t xml:space="preserve"> 20</w:t>
          </w:r>
          <w:r w:rsidRPr="002D7760">
            <w:rPr>
              <w:sz w:val="16"/>
              <w:lang w:val="id-ID"/>
            </w:rPr>
            <w:t>2</w:t>
          </w:r>
          <w:r w:rsidR="00D21D37">
            <w:rPr>
              <w:sz w:val="16"/>
            </w:rPr>
            <w:t>1</w:t>
          </w:r>
          <w:r w:rsidRPr="002D7760">
            <w:rPr>
              <w:sz w:val="16"/>
            </w:rPr>
            <w:t xml:space="preserve">, pp. </w:t>
          </w:r>
          <w:r w:rsidR="00D21D37">
            <w:rPr>
              <w:sz w:val="16"/>
            </w:rPr>
            <w:t>xx-xx</w:t>
          </w:r>
        </w:p>
        <w:p w14:paraId="66D7E895" w14:textId="77777777" w:rsidR="00FF54B9" w:rsidRPr="002D7760" w:rsidRDefault="00FF54B9" w:rsidP="00D21D37">
          <w:pPr>
            <w:pStyle w:val="Header"/>
            <w:ind w:left="-108"/>
            <w:rPr>
              <w:sz w:val="16"/>
              <w:lang w:val="id-ID"/>
            </w:rPr>
          </w:pPr>
          <w:r w:rsidRPr="002D7760">
            <w:rPr>
              <w:sz w:val="16"/>
            </w:rPr>
            <w:t xml:space="preserve">ISSN </w:t>
          </w:r>
          <w:r w:rsidR="0020556C" w:rsidRPr="0020556C">
            <w:rPr>
              <w:sz w:val="16"/>
            </w:rPr>
            <w:t xml:space="preserve">2685-9130 </w:t>
          </w:r>
          <w:r w:rsidR="00D21D37">
            <w:rPr>
              <w:sz w:val="16"/>
            </w:rPr>
            <w:t xml:space="preserve">(print), </w:t>
          </w:r>
          <w:r w:rsidR="0020556C" w:rsidRPr="0020556C">
            <w:rPr>
              <w:sz w:val="16"/>
            </w:rPr>
            <w:t xml:space="preserve">2685-9122 </w:t>
          </w:r>
          <w:r w:rsidR="00D21D37">
            <w:rPr>
              <w:sz w:val="16"/>
            </w:rPr>
            <w:t>(online)</w:t>
          </w:r>
        </w:p>
      </w:tc>
      <w:tc>
        <w:tcPr>
          <w:tcW w:w="1418" w:type="dxa"/>
          <w:vMerge/>
        </w:tcPr>
        <w:p w14:paraId="04028FE6" w14:textId="77777777" w:rsidR="00FF54B9" w:rsidRPr="002D7760" w:rsidRDefault="00FF54B9" w:rsidP="00CA6438">
          <w:pPr>
            <w:pStyle w:val="Header"/>
            <w:ind w:left="-108"/>
            <w:rPr>
              <w:sz w:val="16"/>
              <w:lang w:val="id-ID"/>
            </w:rPr>
          </w:pPr>
        </w:p>
      </w:tc>
    </w:tr>
    <w:tr w:rsidR="00FF54B9" w:rsidRPr="00642E35" w14:paraId="54335BB5" w14:textId="77777777" w:rsidTr="001513A4">
      <w:trPr>
        <w:trHeight w:val="235"/>
      </w:trPr>
      <w:tc>
        <w:tcPr>
          <w:tcW w:w="7371" w:type="dxa"/>
        </w:tcPr>
        <w:p w14:paraId="340E62C3" w14:textId="77777777" w:rsidR="00FF54B9" w:rsidRPr="0020556C" w:rsidRDefault="00106C7F" w:rsidP="0020556C">
          <w:pPr>
            <w:pStyle w:val="Header"/>
            <w:ind w:left="-120"/>
          </w:pPr>
          <w:hyperlink r:id="rId1" w:history="1">
            <w:r w:rsidR="0020556C" w:rsidRPr="0020556C">
              <w:rPr>
                <w:rStyle w:val="Hyperlink"/>
                <w:u w:val="none"/>
              </w:rPr>
              <w:t>http://journal.univetbantara.ac.id/index.php/advice</w:t>
            </w:r>
          </w:hyperlink>
          <w:r w:rsidR="0020556C" w:rsidRPr="0020556C">
            <w:t xml:space="preserve"> </w:t>
          </w:r>
          <w:r w:rsidR="00F67688" w:rsidRPr="0020556C">
            <w:t xml:space="preserve"> </w:t>
          </w:r>
        </w:p>
      </w:tc>
      <w:tc>
        <w:tcPr>
          <w:tcW w:w="1418" w:type="dxa"/>
          <w:vMerge/>
        </w:tcPr>
        <w:p w14:paraId="26EFAFAE" w14:textId="77777777" w:rsidR="00FF54B9" w:rsidRPr="002D7760" w:rsidRDefault="00FF54B9" w:rsidP="00FF54B9">
          <w:pPr>
            <w:pStyle w:val="Header"/>
            <w:ind w:left="-120"/>
          </w:pPr>
        </w:p>
      </w:tc>
    </w:tr>
  </w:tbl>
  <w:p w14:paraId="5152231E" w14:textId="77777777" w:rsidR="006E1E83" w:rsidRPr="001513A4" w:rsidRDefault="00C0600A" w:rsidP="00684FEA">
    <w:pPr>
      <w:pStyle w:val="Header"/>
      <w:rPr>
        <w:rFonts w:ascii="Centaur" w:hAnsi="Centaur"/>
        <w:color w:val="BDD6EE" w:themeColor="accent1" w:themeTint="66"/>
      </w:rPr>
    </w:pPr>
    <w:r w:rsidRPr="001513A4">
      <w:rPr>
        <w:noProof/>
        <w:color w:val="BDD6EE" w:themeColor="accent1" w:themeTint="66"/>
        <w:lang w:eastAsia="zh-CN"/>
      </w:rPr>
      <mc:AlternateContent>
        <mc:Choice Requires="wps">
          <w:drawing>
            <wp:anchor distT="4294967295" distB="4294967295" distL="114300" distR="114300" simplePos="0" relativeHeight="251658240" behindDoc="0" locked="0" layoutInCell="1" allowOverlap="1" wp14:anchorId="7DA1DA3C" wp14:editId="453E1DB7">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B9910B"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" strokecolor="#5b9bd5 [3204]"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7296F"/>
    <w:multiLevelType w:val="hybridMultilevel"/>
    <w:tmpl w:val="7F0451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51C0F65"/>
    <w:multiLevelType w:val="multilevel"/>
    <w:tmpl w:val="B03ED5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B80180"/>
    <w:multiLevelType w:val="hybridMultilevel"/>
    <w:tmpl w:val="60D4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9E3B8D"/>
    <w:multiLevelType w:val="hybridMultilevel"/>
    <w:tmpl w:val="850C7F4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38C78B7"/>
    <w:multiLevelType w:val="hybridMultilevel"/>
    <w:tmpl w:val="BC045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6" w15:restartNumberingAfterBreak="0">
    <w:nsid w:val="2A3153E5"/>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5525F"/>
    <w:multiLevelType w:val="hybridMultilevel"/>
    <w:tmpl w:val="95A8D316"/>
    <w:lvl w:ilvl="0" w:tplc="DBB08786">
      <w:numFmt w:val="bullet"/>
      <w:lvlText w:val="•"/>
      <w:lvlJc w:val="left"/>
      <w:pPr>
        <w:ind w:left="720" w:hanging="432"/>
      </w:pPr>
      <w:rPr>
        <w:rFonts w:ascii="Times New Roman" w:eastAsia="MS Mincho"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C32430"/>
    <w:multiLevelType w:val="multilevel"/>
    <w:tmpl w:val="11A429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189603E"/>
    <w:multiLevelType w:val="multilevel"/>
    <w:tmpl w:val="12CC7CC0"/>
    <w:lvl w:ilvl="0">
      <w:start w:val="1"/>
      <w:numFmt w:val="decimal"/>
      <w:pStyle w:val="Heading1"/>
      <w:lvlText w:val="%1."/>
      <w:lvlJc w:val="left"/>
      <w:pPr>
        <w:ind w:left="360" w:hanging="360"/>
      </w:pPr>
      <w:rPr>
        <w:rFonts w:hint="default"/>
        <w:b/>
        <w:i w:val="0"/>
        <w:caps w:val="0"/>
        <w:strike w:val="0"/>
        <w:dstrike w:val="0"/>
        <w:vanish w:val="0"/>
        <w:color w:val="auto"/>
        <w:sz w:val="22"/>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1"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13" w15:restartNumberingAfterBreak="0">
    <w:nsid w:val="55D17411"/>
    <w:multiLevelType w:val="hybridMultilevel"/>
    <w:tmpl w:val="093230F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5654259D"/>
    <w:multiLevelType w:val="multilevel"/>
    <w:tmpl w:val="55669D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1873C1E"/>
    <w:multiLevelType w:val="hybridMultilevel"/>
    <w:tmpl w:val="1236E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37827"/>
    <w:multiLevelType w:val="hybridMultilevel"/>
    <w:tmpl w:val="703C0EFA"/>
    <w:lvl w:ilvl="0" w:tplc="DE063496">
      <w:start w:val="1"/>
      <w:numFmt w:val="decimal"/>
      <w:lvlText w:val="3.%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05A64"/>
    <w:multiLevelType w:val="hybridMultilevel"/>
    <w:tmpl w:val="4F0E43A6"/>
    <w:lvl w:ilvl="0" w:tplc="FFFFFFFF">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C402C58"/>
    <w:multiLevelType w:val="hybridMultilevel"/>
    <w:tmpl w:val="4C1AF264"/>
    <w:lvl w:ilvl="0" w:tplc="434E57BC">
      <w:start w:val="1"/>
      <w:numFmt w:val="decimal"/>
      <w:pStyle w:val="figurecaption"/>
      <w:lvlText w:val="Fig.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6CD32DA8"/>
    <w:multiLevelType w:val="singleLevel"/>
    <w:tmpl w:val="0C1E164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20" w15:restartNumberingAfterBreak="0">
    <w:nsid w:val="74AA7C3C"/>
    <w:multiLevelType w:val="hybridMultilevel"/>
    <w:tmpl w:val="5B62379C"/>
    <w:lvl w:ilvl="0" w:tplc="DBB08786">
      <w:numFmt w:val="bullet"/>
      <w:lvlText w:val="•"/>
      <w:lvlJc w:val="left"/>
      <w:pPr>
        <w:ind w:left="1008" w:hanging="432"/>
      </w:pPr>
      <w:rPr>
        <w:rFonts w:ascii="Times New Roman" w:eastAsia="MS Mincho"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8"/>
  </w:num>
  <w:num w:numId="2">
    <w:abstractNumId w:val="18"/>
  </w:num>
  <w:num w:numId="3">
    <w:abstractNumId w:val="10"/>
  </w:num>
  <w:num w:numId="4">
    <w:abstractNumId w:val="12"/>
  </w:num>
  <w:num w:numId="5">
    <w:abstractNumId w:val="19"/>
  </w:num>
  <w:num w:numId="6">
    <w:abstractNumId w:val="21"/>
  </w:num>
  <w:num w:numId="7">
    <w:abstractNumId w:val="5"/>
  </w:num>
  <w:num w:numId="8">
    <w:abstractNumId w:val="16"/>
  </w:num>
  <w:num w:numId="9">
    <w:abstractNumId w:val="16"/>
    <w:lvlOverride w:ilvl="0">
      <w:startOverride w:val="1"/>
    </w:lvlOverride>
  </w:num>
  <w:num w:numId="10">
    <w:abstractNumId w:val="11"/>
  </w:num>
  <w:num w:numId="11">
    <w:abstractNumId w:val="14"/>
  </w:num>
  <w:num w:numId="12">
    <w:abstractNumId w:val="1"/>
  </w:num>
  <w:num w:numId="13">
    <w:abstractNumId w:val="9"/>
  </w:num>
  <w:num w:numId="14">
    <w:abstractNumId w:val="10"/>
  </w:num>
  <w:num w:numId="15">
    <w:abstractNumId w:val="19"/>
  </w:num>
  <w:num w:numId="16">
    <w:abstractNumId w:val="18"/>
  </w:num>
  <w:num w:numId="17">
    <w:abstractNumId w:val="18"/>
  </w:num>
  <w:num w:numId="18">
    <w:abstractNumId w:val="12"/>
  </w:num>
  <w:num w:numId="19">
    <w:abstractNumId w:val="12"/>
  </w:num>
  <w:num w:numId="20">
    <w:abstractNumId w:val="12"/>
  </w:num>
  <w:num w:numId="21">
    <w:abstractNumId w:val="0"/>
  </w:num>
  <w:num w:numId="22">
    <w:abstractNumId w:val="15"/>
  </w:num>
  <w:num w:numId="23">
    <w:abstractNumId w:val="6"/>
  </w:num>
  <w:num w:numId="24">
    <w:abstractNumId w:val="2"/>
  </w:num>
  <w:num w:numId="25">
    <w:abstractNumId w:val="3"/>
  </w:num>
  <w:num w:numId="26">
    <w:abstractNumId w:val="7"/>
  </w:num>
  <w:num w:numId="27">
    <w:abstractNumId w:val="20"/>
  </w:num>
  <w:num w:numId="28">
    <w:abstractNumId w:val="13"/>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drawingGridHorizontalSpacing w:val="110"/>
  <w:displayHorizontalDrawingGridEvery w:val="2"/>
  <w:displayVerticalDrawingGridEvery w:val="2"/>
  <w:characterSpacingControl w:val="doNotCompress"/>
  <w:hdrShapeDefaults>
    <o:shapedefaults v:ext="edit" spidmax="2049">
      <o:colormru v:ext="edit" colors="#d38a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sFAN3ERKctAAAA"/>
  </w:docVars>
  <w:rsids>
    <w:rsidRoot w:val="001D3718"/>
    <w:rsid w:val="00006196"/>
    <w:rsid w:val="00015765"/>
    <w:rsid w:val="00024A44"/>
    <w:rsid w:val="00025785"/>
    <w:rsid w:val="00033E8E"/>
    <w:rsid w:val="0004057D"/>
    <w:rsid w:val="000413BE"/>
    <w:rsid w:val="00044CA8"/>
    <w:rsid w:val="000457D0"/>
    <w:rsid w:val="00047390"/>
    <w:rsid w:val="00056433"/>
    <w:rsid w:val="0005797C"/>
    <w:rsid w:val="0006660B"/>
    <w:rsid w:val="0007464A"/>
    <w:rsid w:val="0007604B"/>
    <w:rsid w:val="000763F0"/>
    <w:rsid w:val="000815F8"/>
    <w:rsid w:val="000973A0"/>
    <w:rsid w:val="000A4079"/>
    <w:rsid w:val="000B6F8A"/>
    <w:rsid w:val="000B70A4"/>
    <w:rsid w:val="000D1045"/>
    <w:rsid w:val="000D6A1D"/>
    <w:rsid w:val="000E1D58"/>
    <w:rsid w:val="000E64B7"/>
    <w:rsid w:val="000F5AF4"/>
    <w:rsid w:val="00106C7F"/>
    <w:rsid w:val="001202B1"/>
    <w:rsid w:val="001366C8"/>
    <w:rsid w:val="001379BD"/>
    <w:rsid w:val="00137A95"/>
    <w:rsid w:val="00141E1E"/>
    <w:rsid w:val="00142C0F"/>
    <w:rsid w:val="00145CF2"/>
    <w:rsid w:val="00146B2B"/>
    <w:rsid w:val="001471C5"/>
    <w:rsid w:val="001513A4"/>
    <w:rsid w:val="00155A16"/>
    <w:rsid w:val="00161E06"/>
    <w:rsid w:val="00164E50"/>
    <w:rsid w:val="00180844"/>
    <w:rsid w:val="001812B4"/>
    <w:rsid w:val="00195933"/>
    <w:rsid w:val="001B40CB"/>
    <w:rsid w:val="001C06A6"/>
    <w:rsid w:val="001C5C6A"/>
    <w:rsid w:val="001D16ED"/>
    <w:rsid w:val="001D3718"/>
    <w:rsid w:val="001D3CF1"/>
    <w:rsid w:val="001D4870"/>
    <w:rsid w:val="001E3530"/>
    <w:rsid w:val="001E43A2"/>
    <w:rsid w:val="001F0D82"/>
    <w:rsid w:val="001F3CC7"/>
    <w:rsid w:val="001F661B"/>
    <w:rsid w:val="00201F81"/>
    <w:rsid w:val="00204753"/>
    <w:rsid w:val="0020556C"/>
    <w:rsid w:val="00225ABE"/>
    <w:rsid w:val="00230196"/>
    <w:rsid w:val="00233B2C"/>
    <w:rsid w:val="00235D27"/>
    <w:rsid w:val="002576EC"/>
    <w:rsid w:val="002709E6"/>
    <w:rsid w:val="0027672B"/>
    <w:rsid w:val="00277EC0"/>
    <w:rsid w:val="002940EA"/>
    <w:rsid w:val="002A3F6E"/>
    <w:rsid w:val="002C41CE"/>
    <w:rsid w:val="002D1BFB"/>
    <w:rsid w:val="002D6C52"/>
    <w:rsid w:val="002D7760"/>
    <w:rsid w:val="002D7916"/>
    <w:rsid w:val="002E39F0"/>
    <w:rsid w:val="002E49A6"/>
    <w:rsid w:val="002F4D4A"/>
    <w:rsid w:val="002F659D"/>
    <w:rsid w:val="00302CF4"/>
    <w:rsid w:val="00305A23"/>
    <w:rsid w:val="00313BD4"/>
    <w:rsid w:val="003144A6"/>
    <w:rsid w:val="0031720F"/>
    <w:rsid w:val="003267DD"/>
    <w:rsid w:val="00331DAF"/>
    <w:rsid w:val="003549B4"/>
    <w:rsid w:val="00397542"/>
    <w:rsid w:val="003C2DE0"/>
    <w:rsid w:val="003C5709"/>
    <w:rsid w:val="003C7559"/>
    <w:rsid w:val="003C7B89"/>
    <w:rsid w:val="003D126F"/>
    <w:rsid w:val="003D1790"/>
    <w:rsid w:val="003E54A5"/>
    <w:rsid w:val="0040540B"/>
    <w:rsid w:val="00415A07"/>
    <w:rsid w:val="004178F0"/>
    <w:rsid w:val="00423D4C"/>
    <w:rsid w:val="00462AB1"/>
    <w:rsid w:val="004656D4"/>
    <w:rsid w:val="0046585A"/>
    <w:rsid w:val="00465E46"/>
    <w:rsid w:val="00475E24"/>
    <w:rsid w:val="00492600"/>
    <w:rsid w:val="00492DC6"/>
    <w:rsid w:val="004A213C"/>
    <w:rsid w:val="004B4C0D"/>
    <w:rsid w:val="004C0D7A"/>
    <w:rsid w:val="004C4F1F"/>
    <w:rsid w:val="004D3498"/>
    <w:rsid w:val="004D57FF"/>
    <w:rsid w:val="004F2FC2"/>
    <w:rsid w:val="005028BB"/>
    <w:rsid w:val="005064E2"/>
    <w:rsid w:val="00512A3D"/>
    <w:rsid w:val="00530B39"/>
    <w:rsid w:val="00537B9A"/>
    <w:rsid w:val="00542C87"/>
    <w:rsid w:val="00564627"/>
    <w:rsid w:val="005A57D0"/>
    <w:rsid w:val="005B6FCB"/>
    <w:rsid w:val="005C2462"/>
    <w:rsid w:val="005E2CF0"/>
    <w:rsid w:val="005E5D12"/>
    <w:rsid w:val="005F47CC"/>
    <w:rsid w:val="0060651D"/>
    <w:rsid w:val="00607F93"/>
    <w:rsid w:val="00617001"/>
    <w:rsid w:val="00620770"/>
    <w:rsid w:val="006255DF"/>
    <w:rsid w:val="006345C1"/>
    <w:rsid w:val="006351E7"/>
    <w:rsid w:val="00636A5D"/>
    <w:rsid w:val="006372E4"/>
    <w:rsid w:val="006419EF"/>
    <w:rsid w:val="00642E35"/>
    <w:rsid w:val="00652478"/>
    <w:rsid w:val="0065280A"/>
    <w:rsid w:val="00664A1F"/>
    <w:rsid w:val="006720CD"/>
    <w:rsid w:val="00681FA4"/>
    <w:rsid w:val="00684FEA"/>
    <w:rsid w:val="0069353F"/>
    <w:rsid w:val="006D1D0F"/>
    <w:rsid w:val="006E07B2"/>
    <w:rsid w:val="006E1E83"/>
    <w:rsid w:val="006E6CC6"/>
    <w:rsid w:val="006E71AD"/>
    <w:rsid w:val="006F1B07"/>
    <w:rsid w:val="006F2B02"/>
    <w:rsid w:val="006F4F5D"/>
    <w:rsid w:val="006F7730"/>
    <w:rsid w:val="00715FB0"/>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4DA8"/>
    <w:rsid w:val="00796453"/>
    <w:rsid w:val="007A579F"/>
    <w:rsid w:val="007B2D50"/>
    <w:rsid w:val="007C0127"/>
    <w:rsid w:val="007C202B"/>
    <w:rsid w:val="007C7377"/>
    <w:rsid w:val="007E04CB"/>
    <w:rsid w:val="007E3DB0"/>
    <w:rsid w:val="007F39B3"/>
    <w:rsid w:val="00802875"/>
    <w:rsid w:val="008043B1"/>
    <w:rsid w:val="00812FA6"/>
    <w:rsid w:val="00831FEC"/>
    <w:rsid w:val="0083486C"/>
    <w:rsid w:val="00856998"/>
    <w:rsid w:val="008739BE"/>
    <w:rsid w:val="00875677"/>
    <w:rsid w:val="00883BF2"/>
    <w:rsid w:val="00892EB2"/>
    <w:rsid w:val="00892F10"/>
    <w:rsid w:val="008934E2"/>
    <w:rsid w:val="008B1DA1"/>
    <w:rsid w:val="008D7EDA"/>
    <w:rsid w:val="008E4504"/>
    <w:rsid w:val="008E4966"/>
    <w:rsid w:val="008F66ED"/>
    <w:rsid w:val="00900203"/>
    <w:rsid w:val="00901619"/>
    <w:rsid w:val="00906FF4"/>
    <w:rsid w:val="00910587"/>
    <w:rsid w:val="0094202B"/>
    <w:rsid w:val="0094490F"/>
    <w:rsid w:val="009615EE"/>
    <w:rsid w:val="00962C1B"/>
    <w:rsid w:val="00987E31"/>
    <w:rsid w:val="00991537"/>
    <w:rsid w:val="00992BB7"/>
    <w:rsid w:val="009976D6"/>
    <w:rsid w:val="009A2856"/>
    <w:rsid w:val="009A75CC"/>
    <w:rsid w:val="009B30CE"/>
    <w:rsid w:val="009B4B30"/>
    <w:rsid w:val="009C10E2"/>
    <w:rsid w:val="009C16EA"/>
    <w:rsid w:val="009C2430"/>
    <w:rsid w:val="009D10B1"/>
    <w:rsid w:val="009E56C1"/>
    <w:rsid w:val="009E6D9C"/>
    <w:rsid w:val="009E76C1"/>
    <w:rsid w:val="009F0194"/>
    <w:rsid w:val="009F3996"/>
    <w:rsid w:val="009F754C"/>
    <w:rsid w:val="00A03FB9"/>
    <w:rsid w:val="00A12464"/>
    <w:rsid w:val="00A2390E"/>
    <w:rsid w:val="00A25627"/>
    <w:rsid w:val="00A4451F"/>
    <w:rsid w:val="00A50C2E"/>
    <w:rsid w:val="00A70AF0"/>
    <w:rsid w:val="00A84B8C"/>
    <w:rsid w:val="00A87A4C"/>
    <w:rsid w:val="00A9119C"/>
    <w:rsid w:val="00A94252"/>
    <w:rsid w:val="00A94C3D"/>
    <w:rsid w:val="00AB74E6"/>
    <w:rsid w:val="00AC0ABA"/>
    <w:rsid w:val="00AE19A6"/>
    <w:rsid w:val="00AE2FC2"/>
    <w:rsid w:val="00AF3AC9"/>
    <w:rsid w:val="00B3474F"/>
    <w:rsid w:val="00B40E86"/>
    <w:rsid w:val="00B47B8A"/>
    <w:rsid w:val="00B50271"/>
    <w:rsid w:val="00B5281C"/>
    <w:rsid w:val="00B678BE"/>
    <w:rsid w:val="00B67B0E"/>
    <w:rsid w:val="00B7583B"/>
    <w:rsid w:val="00B90499"/>
    <w:rsid w:val="00B9228C"/>
    <w:rsid w:val="00BA5995"/>
    <w:rsid w:val="00BA7DEF"/>
    <w:rsid w:val="00BB2D1E"/>
    <w:rsid w:val="00BC070D"/>
    <w:rsid w:val="00BC3179"/>
    <w:rsid w:val="00BC5C83"/>
    <w:rsid w:val="00BD291A"/>
    <w:rsid w:val="00C014A3"/>
    <w:rsid w:val="00C0267B"/>
    <w:rsid w:val="00C05630"/>
    <w:rsid w:val="00C0600A"/>
    <w:rsid w:val="00C07B16"/>
    <w:rsid w:val="00C17D14"/>
    <w:rsid w:val="00C21114"/>
    <w:rsid w:val="00C22665"/>
    <w:rsid w:val="00C33350"/>
    <w:rsid w:val="00C37320"/>
    <w:rsid w:val="00C37B8C"/>
    <w:rsid w:val="00C4153E"/>
    <w:rsid w:val="00C45AAE"/>
    <w:rsid w:val="00C475A2"/>
    <w:rsid w:val="00C57255"/>
    <w:rsid w:val="00C578A0"/>
    <w:rsid w:val="00C61423"/>
    <w:rsid w:val="00C6402F"/>
    <w:rsid w:val="00C717E5"/>
    <w:rsid w:val="00C7557D"/>
    <w:rsid w:val="00C90CD0"/>
    <w:rsid w:val="00C931E6"/>
    <w:rsid w:val="00CA6438"/>
    <w:rsid w:val="00CA76EC"/>
    <w:rsid w:val="00CB1011"/>
    <w:rsid w:val="00CC13C0"/>
    <w:rsid w:val="00CF1B1E"/>
    <w:rsid w:val="00CF3AC2"/>
    <w:rsid w:val="00D03D05"/>
    <w:rsid w:val="00D11934"/>
    <w:rsid w:val="00D21D37"/>
    <w:rsid w:val="00D25BE5"/>
    <w:rsid w:val="00D271E9"/>
    <w:rsid w:val="00D526B5"/>
    <w:rsid w:val="00D55AC4"/>
    <w:rsid w:val="00D60ADF"/>
    <w:rsid w:val="00D621D9"/>
    <w:rsid w:val="00D64370"/>
    <w:rsid w:val="00D64E14"/>
    <w:rsid w:val="00D739C8"/>
    <w:rsid w:val="00D76512"/>
    <w:rsid w:val="00D77905"/>
    <w:rsid w:val="00D85D3B"/>
    <w:rsid w:val="00D95025"/>
    <w:rsid w:val="00DA5BB6"/>
    <w:rsid w:val="00DB2E34"/>
    <w:rsid w:val="00DB3629"/>
    <w:rsid w:val="00DB7D62"/>
    <w:rsid w:val="00DC652B"/>
    <w:rsid w:val="00DC7202"/>
    <w:rsid w:val="00DD77C7"/>
    <w:rsid w:val="00DE7C4B"/>
    <w:rsid w:val="00E077A1"/>
    <w:rsid w:val="00E224B8"/>
    <w:rsid w:val="00E32091"/>
    <w:rsid w:val="00E42BA0"/>
    <w:rsid w:val="00E473C6"/>
    <w:rsid w:val="00E5012B"/>
    <w:rsid w:val="00E52BFD"/>
    <w:rsid w:val="00E53CCE"/>
    <w:rsid w:val="00E55540"/>
    <w:rsid w:val="00E55BF5"/>
    <w:rsid w:val="00E60BC3"/>
    <w:rsid w:val="00E86BB7"/>
    <w:rsid w:val="00E923EF"/>
    <w:rsid w:val="00E93E6A"/>
    <w:rsid w:val="00E95A00"/>
    <w:rsid w:val="00EA6E86"/>
    <w:rsid w:val="00EC0CFB"/>
    <w:rsid w:val="00EC29FF"/>
    <w:rsid w:val="00EC31EF"/>
    <w:rsid w:val="00EC3CED"/>
    <w:rsid w:val="00ED61F6"/>
    <w:rsid w:val="00EF06E6"/>
    <w:rsid w:val="00EF76C5"/>
    <w:rsid w:val="00F02B99"/>
    <w:rsid w:val="00F073B1"/>
    <w:rsid w:val="00F10C95"/>
    <w:rsid w:val="00F1723A"/>
    <w:rsid w:val="00F1724E"/>
    <w:rsid w:val="00F17727"/>
    <w:rsid w:val="00F30191"/>
    <w:rsid w:val="00F31B1A"/>
    <w:rsid w:val="00F33154"/>
    <w:rsid w:val="00F47C91"/>
    <w:rsid w:val="00F54852"/>
    <w:rsid w:val="00F63E66"/>
    <w:rsid w:val="00F67688"/>
    <w:rsid w:val="00F719F2"/>
    <w:rsid w:val="00F7624D"/>
    <w:rsid w:val="00F76EFB"/>
    <w:rsid w:val="00F773A6"/>
    <w:rsid w:val="00F91C88"/>
    <w:rsid w:val="00FA3FDB"/>
    <w:rsid w:val="00FA64B8"/>
    <w:rsid w:val="00FB194F"/>
    <w:rsid w:val="00FC1E52"/>
    <w:rsid w:val="00FC221B"/>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8a5d"/>
    </o:shapedefaults>
    <o:shapelayout v:ext="edit">
      <o:idmap v:ext="edit" data="1"/>
    </o:shapelayout>
  </w:shapeDefaults>
  <w:decimalSymbol w:val="."/>
  <w:listSeparator w:val=","/>
  <w14:docId w14:val="45F8207D"/>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rsid w:val="00230196"/>
    <w:pPr>
      <w:keepNext/>
      <w:keepLines/>
      <w:numPr>
        <w:numId w:val="3"/>
      </w:numPr>
      <w:tabs>
        <w:tab w:val="left" w:pos="216"/>
      </w:tabs>
      <w:spacing w:before="360" w:after="80" w:line="240" w:lineRule="auto"/>
      <w:outlineLvl w:val="0"/>
    </w:pPr>
    <w:rPr>
      <w:rFonts w:ascii="Arial Narrow" w:eastAsia="MS Mincho" w:hAnsi="Arial Narrow"/>
      <w:b/>
      <w:noProof/>
      <w:sz w:val="26"/>
      <w:szCs w:val="20"/>
    </w:rPr>
  </w:style>
  <w:style w:type="paragraph" w:styleId="Heading2">
    <w:name w:val="heading 2"/>
    <w:basedOn w:val="Normal"/>
    <w:next w:val="Normal"/>
    <w:link w:val="Heading2Char"/>
    <w:autoRedefine/>
    <w:uiPriority w:val="99"/>
    <w:qFormat/>
    <w:rsid w:val="00230196"/>
    <w:pPr>
      <w:keepNext/>
      <w:keepLines/>
      <w:numPr>
        <w:ilvl w:val="1"/>
        <w:numId w:val="10"/>
      </w:numPr>
      <w:tabs>
        <w:tab w:val="left" w:pos="454"/>
      </w:tabs>
      <w:spacing w:before="120" w:after="60" w:line="240" w:lineRule="auto"/>
      <w:ind w:left="284" w:hanging="284"/>
      <w:outlineLvl w:val="1"/>
    </w:pPr>
    <w:rPr>
      <w:rFonts w:ascii="Arial Narrow" w:eastAsia="MS Mincho" w:hAnsi="Arial Narrow"/>
      <w:b/>
      <w:iCs/>
      <w:noProof/>
      <w:szCs w:val="20"/>
    </w:rPr>
  </w:style>
  <w:style w:type="paragraph" w:styleId="Heading3">
    <w:name w:val="heading 3"/>
    <w:basedOn w:val="Normal"/>
    <w:next w:val="Normal"/>
    <w:link w:val="Heading3Char"/>
    <w:uiPriority w:val="99"/>
    <w:qFormat/>
    <w:rsid w:val="00230196"/>
    <w:pPr>
      <w:numPr>
        <w:ilvl w:val="2"/>
        <w:numId w:val="3"/>
      </w:numPr>
      <w:spacing w:after="0" w:line="240" w:lineRule="exact"/>
      <w:ind w:firstLine="288"/>
      <w:jc w:val="both"/>
      <w:outlineLvl w:val="2"/>
    </w:pPr>
    <w:rPr>
      <w:rFonts w:ascii="Arial Narrow" w:eastAsia="MS Mincho" w:hAnsi="Arial Narrow"/>
      <w:iCs/>
      <w:noProof/>
      <w:sz w:val="20"/>
      <w:szCs w:val="20"/>
    </w:rPr>
  </w:style>
  <w:style w:type="paragraph" w:styleId="Heading4">
    <w:name w:val="heading 4"/>
    <w:basedOn w:val="Normal"/>
    <w:next w:val="Normal"/>
    <w:link w:val="Heading4Char"/>
    <w:uiPriority w:val="99"/>
    <w:qFormat/>
    <w:rsid w:val="00537B9A"/>
    <w:pPr>
      <w:numPr>
        <w:ilvl w:val="3"/>
        <w:numId w:val="3"/>
      </w:numPr>
      <w:tabs>
        <w:tab w:val="left" w:pos="821"/>
      </w:tabs>
      <w:spacing w:before="40" w:after="40" w:line="240" w:lineRule="auto"/>
      <w:ind w:firstLine="504"/>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47C91"/>
    <w:pPr>
      <w:keepNext/>
      <w:suppressAutoHyphens/>
      <w:spacing w:after="160" w:line="300" w:lineRule="exact"/>
    </w:pPr>
    <w:rPr>
      <w:rFonts w:ascii="Arial Narrow" w:eastAsia="SimSun" w:hAnsi="Arial Narrow"/>
      <w:noProof/>
      <w:sz w:val="26"/>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47C91"/>
    <w:pPr>
      <w:spacing w:after="80" w:line="200" w:lineRule="exact"/>
      <w:jc w:val="both"/>
    </w:pPr>
    <w:rPr>
      <w:rFonts w:asciiTheme="minorHAnsi" w:eastAsia="Times New Roman" w:hAnsiTheme="minorHAnsi"/>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9"/>
    <w:rsid w:val="00230196"/>
    <w:rPr>
      <w:rFonts w:ascii="Arial Narrow" w:eastAsia="MS Mincho" w:hAnsi="Arial Narrow"/>
      <w:b/>
      <w:noProof/>
      <w:sz w:val="26"/>
      <w:lang w:eastAsia="en-US"/>
    </w:rPr>
  </w:style>
  <w:style w:type="character" w:customStyle="1" w:styleId="Heading2Char">
    <w:name w:val="Heading 2 Char"/>
    <w:link w:val="Heading2"/>
    <w:uiPriority w:val="99"/>
    <w:rsid w:val="00230196"/>
    <w:rPr>
      <w:rFonts w:ascii="Arial Narrow" w:eastAsia="MS Mincho" w:hAnsi="Arial Narrow"/>
      <w:b/>
      <w:iCs/>
      <w:noProof/>
      <w:sz w:val="22"/>
      <w:lang w:eastAsia="en-US"/>
    </w:rPr>
  </w:style>
  <w:style w:type="character" w:customStyle="1" w:styleId="Heading3Char">
    <w:name w:val="Heading 3 Char"/>
    <w:link w:val="Heading3"/>
    <w:uiPriority w:val="99"/>
    <w:rsid w:val="00230196"/>
    <w:rPr>
      <w:rFonts w:ascii="Arial Narrow" w:eastAsia="MS Mincho" w:hAnsi="Arial Narrow"/>
      <w:iCs/>
      <w:noProof/>
      <w:lang w:eastAsia="en-US"/>
    </w:rPr>
  </w:style>
  <w:style w:type="character" w:customStyle="1" w:styleId="Heading4Char">
    <w:name w:val="Heading 4 Char"/>
    <w:link w:val="Heading4"/>
    <w:uiPriority w:val="99"/>
    <w:rsid w:val="00537B9A"/>
    <w:rPr>
      <w:rFonts w:ascii="Times New Roman" w:eastAsia="MS Mincho" w:hAnsi="Times New Roman" w:cs="Times New Roman"/>
      <w:i/>
      <w:iCs/>
      <w:noProof/>
      <w:sz w:val="20"/>
      <w:szCs w:val="20"/>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F47C91"/>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F47C91"/>
    <w:pPr>
      <w:tabs>
        <w:tab w:val="center" w:pos="4680"/>
        <w:tab w:val="right" w:pos="9360"/>
      </w:tabs>
    </w:pPr>
    <w:rPr>
      <w:rFonts w:ascii="Arial Narrow" w:hAnsi="Arial Narrow"/>
    </w:rPr>
  </w:style>
  <w:style w:type="character" w:customStyle="1" w:styleId="FooterChar">
    <w:name w:val="Footer Char"/>
    <w:link w:val="Footer"/>
    <w:uiPriority w:val="99"/>
    <w:rsid w:val="00F47C91"/>
    <w:rPr>
      <w:rFonts w:ascii="Arial Narrow" w:hAnsi="Arial Narrow"/>
      <w:sz w:val="22"/>
      <w:szCs w:val="22"/>
      <w:lang w:eastAsia="en-US"/>
    </w:rPr>
  </w:style>
  <w:style w:type="character" w:styleId="Hyperlink">
    <w:name w:val="Hyperlink"/>
    <w:uiPriority w:val="99"/>
    <w:unhideWhenUsed/>
    <w:rsid w:val="00A25627"/>
    <w:rPr>
      <w:color w:val="0563C1"/>
      <w:u w:val="singl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rFonts w:ascii="Arial Narrow" w:hAnsi="Arial Narrow"/>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DewaruciTITLE">
    <w:name w:val="Dewaruci TITLE"/>
    <w:basedOn w:val="NoSpacing"/>
    <w:qFormat/>
    <w:rsid w:val="00F47C91"/>
    <w:rPr>
      <w:rFonts w:ascii="Verdana" w:hAnsi="Verdana"/>
      <w:sz w:val="32"/>
      <w:szCs w:val="32"/>
    </w:rPr>
  </w:style>
  <w:style w:type="paragraph" w:customStyle="1" w:styleId="PendhapaTITLE">
    <w:name w:val="Pendhapa TITLE"/>
    <w:basedOn w:val="Dewaruci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pendhapa">
    <w:name w:val="Name_pendhapa"/>
    <w:basedOn w:val="Header"/>
    <w:qFormat/>
    <w:rsid w:val="00230196"/>
    <w:pPr>
      <w:ind w:left="-108"/>
    </w:pPr>
    <w:rPr>
      <w:rFonts w:ascii="Verdana" w:hAnsi="Verdana"/>
      <w:sz w:val="22"/>
      <w:szCs w:val="20"/>
    </w:rPr>
  </w:style>
  <w:style w:type="paragraph" w:styleId="ListParagraph">
    <w:name w:val="List Paragraph"/>
    <w:basedOn w:val="Normal"/>
    <w:uiPriority w:val="34"/>
    <w:qFormat/>
    <w:rsid w:val="00D64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722468">
      <w:bodyDiv w:val="1"/>
      <w:marLeft w:val="0"/>
      <w:marRight w:val="0"/>
      <w:marTop w:val="0"/>
      <w:marBottom w:val="0"/>
      <w:divBdr>
        <w:top w:val="none" w:sz="0" w:space="0" w:color="auto"/>
        <w:left w:val="none" w:sz="0" w:space="0" w:color="auto"/>
        <w:bottom w:val="none" w:sz="0" w:space="0" w:color="auto"/>
        <w:right w:val="none" w:sz="0" w:space="0" w:color="auto"/>
      </w:divBdr>
    </w:div>
    <w:div w:id="135605995">
      <w:bodyDiv w:val="1"/>
      <w:marLeft w:val="0"/>
      <w:marRight w:val="0"/>
      <w:marTop w:val="0"/>
      <w:marBottom w:val="0"/>
      <w:divBdr>
        <w:top w:val="none" w:sz="0" w:space="0" w:color="auto"/>
        <w:left w:val="none" w:sz="0" w:space="0" w:color="auto"/>
        <w:bottom w:val="none" w:sz="0" w:space="0" w:color="auto"/>
        <w:right w:val="none" w:sz="0" w:space="0" w:color="auto"/>
      </w:divBdr>
    </w:div>
    <w:div w:id="360321299">
      <w:bodyDiv w:val="1"/>
      <w:marLeft w:val="0"/>
      <w:marRight w:val="0"/>
      <w:marTop w:val="0"/>
      <w:marBottom w:val="0"/>
      <w:divBdr>
        <w:top w:val="none" w:sz="0" w:space="0" w:color="auto"/>
        <w:left w:val="none" w:sz="0" w:space="0" w:color="auto"/>
        <w:bottom w:val="none" w:sz="0" w:space="0" w:color="auto"/>
        <w:right w:val="none" w:sz="0" w:space="0" w:color="auto"/>
      </w:divBdr>
    </w:div>
    <w:div w:id="492113317">
      <w:bodyDiv w:val="1"/>
      <w:marLeft w:val="0"/>
      <w:marRight w:val="0"/>
      <w:marTop w:val="0"/>
      <w:marBottom w:val="0"/>
      <w:divBdr>
        <w:top w:val="none" w:sz="0" w:space="0" w:color="auto"/>
        <w:left w:val="none" w:sz="0" w:space="0" w:color="auto"/>
        <w:bottom w:val="none" w:sz="0" w:space="0" w:color="auto"/>
        <w:right w:val="none" w:sz="0" w:space="0" w:color="auto"/>
      </w:divBdr>
    </w:div>
    <w:div w:id="526066468">
      <w:bodyDiv w:val="1"/>
      <w:marLeft w:val="0"/>
      <w:marRight w:val="0"/>
      <w:marTop w:val="0"/>
      <w:marBottom w:val="0"/>
      <w:divBdr>
        <w:top w:val="none" w:sz="0" w:space="0" w:color="auto"/>
        <w:left w:val="none" w:sz="0" w:space="0" w:color="auto"/>
        <w:bottom w:val="none" w:sz="0" w:space="0" w:color="auto"/>
        <w:right w:val="none" w:sz="0" w:space="0" w:color="auto"/>
      </w:divBdr>
    </w:div>
    <w:div w:id="556555328">
      <w:bodyDiv w:val="1"/>
      <w:marLeft w:val="0"/>
      <w:marRight w:val="0"/>
      <w:marTop w:val="0"/>
      <w:marBottom w:val="0"/>
      <w:divBdr>
        <w:top w:val="none" w:sz="0" w:space="0" w:color="auto"/>
        <w:left w:val="none" w:sz="0" w:space="0" w:color="auto"/>
        <w:bottom w:val="none" w:sz="0" w:space="0" w:color="auto"/>
        <w:right w:val="none" w:sz="0" w:space="0" w:color="auto"/>
      </w:divBdr>
    </w:div>
    <w:div w:id="752581540">
      <w:bodyDiv w:val="1"/>
      <w:marLeft w:val="0"/>
      <w:marRight w:val="0"/>
      <w:marTop w:val="0"/>
      <w:marBottom w:val="0"/>
      <w:divBdr>
        <w:top w:val="none" w:sz="0" w:space="0" w:color="auto"/>
        <w:left w:val="none" w:sz="0" w:space="0" w:color="auto"/>
        <w:bottom w:val="none" w:sz="0" w:space="0" w:color="auto"/>
        <w:right w:val="none" w:sz="0" w:space="0" w:color="auto"/>
      </w:divBdr>
    </w:div>
    <w:div w:id="753747773">
      <w:bodyDiv w:val="1"/>
      <w:marLeft w:val="0"/>
      <w:marRight w:val="0"/>
      <w:marTop w:val="0"/>
      <w:marBottom w:val="0"/>
      <w:divBdr>
        <w:top w:val="none" w:sz="0" w:space="0" w:color="auto"/>
        <w:left w:val="none" w:sz="0" w:space="0" w:color="auto"/>
        <w:bottom w:val="none" w:sz="0" w:space="0" w:color="auto"/>
        <w:right w:val="none" w:sz="0" w:space="0" w:color="auto"/>
      </w:divBdr>
    </w:div>
    <w:div w:id="874005025">
      <w:bodyDiv w:val="1"/>
      <w:marLeft w:val="0"/>
      <w:marRight w:val="0"/>
      <w:marTop w:val="0"/>
      <w:marBottom w:val="0"/>
      <w:divBdr>
        <w:top w:val="none" w:sz="0" w:space="0" w:color="auto"/>
        <w:left w:val="none" w:sz="0" w:space="0" w:color="auto"/>
        <w:bottom w:val="none" w:sz="0" w:space="0" w:color="auto"/>
        <w:right w:val="none" w:sz="0" w:space="0" w:color="auto"/>
      </w:divBdr>
    </w:div>
    <w:div w:id="883756764">
      <w:bodyDiv w:val="1"/>
      <w:marLeft w:val="0"/>
      <w:marRight w:val="0"/>
      <w:marTop w:val="0"/>
      <w:marBottom w:val="0"/>
      <w:divBdr>
        <w:top w:val="none" w:sz="0" w:space="0" w:color="auto"/>
        <w:left w:val="none" w:sz="0" w:space="0" w:color="auto"/>
        <w:bottom w:val="none" w:sz="0" w:space="0" w:color="auto"/>
        <w:right w:val="none" w:sz="0" w:space="0" w:color="auto"/>
      </w:divBdr>
    </w:div>
    <w:div w:id="1093942086">
      <w:bodyDiv w:val="1"/>
      <w:marLeft w:val="0"/>
      <w:marRight w:val="0"/>
      <w:marTop w:val="0"/>
      <w:marBottom w:val="0"/>
      <w:divBdr>
        <w:top w:val="none" w:sz="0" w:space="0" w:color="auto"/>
        <w:left w:val="none" w:sz="0" w:space="0" w:color="auto"/>
        <w:bottom w:val="none" w:sz="0" w:space="0" w:color="auto"/>
        <w:right w:val="none" w:sz="0" w:space="0" w:color="auto"/>
      </w:divBdr>
    </w:div>
    <w:div w:id="1226990098">
      <w:bodyDiv w:val="1"/>
      <w:marLeft w:val="0"/>
      <w:marRight w:val="0"/>
      <w:marTop w:val="0"/>
      <w:marBottom w:val="0"/>
      <w:divBdr>
        <w:top w:val="none" w:sz="0" w:space="0" w:color="auto"/>
        <w:left w:val="none" w:sz="0" w:space="0" w:color="auto"/>
        <w:bottom w:val="none" w:sz="0" w:space="0" w:color="auto"/>
        <w:right w:val="none" w:sz="0" w:space="0" w:color="auto"/>
      </w:divBdr>
    </w:div>
    <w:div w:id="1521238678">
      <w:bodyDiv w:val="1"/>
      <w:marLeft w:val="0"/>
      <w:marRight w:val="0"/>
      <w:marTop w:val="0"/>
      <w:marBottom w:val="0"/>
      <w:divBdr>
        <w:top w:val="none" w:sz="0" w:space="0" w:color="auto"/>
        <w:left w:val="none" w:sz="0" w:space="0" w:color="auto"/>
        <w:bottom w:val="none" w:sz="0" w:space="0" w:color="auto"/>
        <w:right w:val="none" w:sz="0" w:space="0" w:color="auto"/>
      </w:divBdr>
    </w:div>
    <w:div w:id="1596284758">
      <w:bodyDiv w:val="1"/>
      <w:marLeft w:val="0"/>
      <w:marRight w:val="0"/>
      <w:marTop w:val="0"/>
      <w:marBottom w:val="0"/>
      <w:divBdr>
        <w:top w:val="none" w:sz="0" w:space="0" w:color="auto"/>
        <w:left w:val="none" w:sz="0" w:space="0" w:color="auto"/>
        <w:bottom w:val="none" w:sz="0" w:space="0" w:color="auto"/>
        <w:right w:val="none" w:sz="0" w:space="0" w:color="auto"/>
      </w:divBdr>
    </w:div>
    <w:div w:id="1766225455">
      <w:bodyDiv w:val="1"/>
      <w:marLeft w:val="0"/>
      <w:marRight w:val="0"/>
      <w:marTop w:val="0"/>
      <w:marBottom w:val="0"/>
      <w:divBdr>
        <w:top w:val="none" w:sz="0" w:space="0" w:color="auto"/>
        <w:left w:val="none" w:sz="0" w:space="0" w:color="auto"/>
        <w:bottom w:val="none" w:sz="0" w:space="0" w:color="auto"/>
        <w:right w:val="none" w:sz="0" w:space="0" w:color="auto"/>
      </w:divBdr>
    </w:div>
    <w:div w:id="1972441870">
      <w:bodyDiv w:val="1"/>
      <w:marLeft w:val="0"/>
      <w:marRight w:val="0"/>
      <w:marTop w:val="0"/>
      <w:marBottom w:val="0"/>
      <w:divBdr>
        <w:top w:val="none" w:sz="0" w:space="0" w:color="auto"/>
        <w:left w:val="none" w:sz="0" w:space="0" w:color="auto"/>
        <w:bottom w:val="none" w:sz="0" w:space="0" w:color="auto"/>
        <w:right w:val="none" w:sz="0" w:space="0" w:color="auto"/>
      </w:divBdr>
    </w:div>
    <w:div w:id="21386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ossmark.crossref.org/dialog/?doi=10.32585/jgse.v2i2.xxx&amp;domain=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licensebuttons.net/l/by-sa/3.0/88x31.p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creativecommons.org/licenses/by-sa/4.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hyperlink" Target="http://journal.univetbantara.ac.id/index.php/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D3530-2C57-42D8-B79E-50E752420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11882</Words>
  <Characters>67734</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79458</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acer</cp:lastModifiedBy>
  <cp:revision>11</cp:revision>
  <cp:lastPrinted>2020-04-26T02:38:00Z</cp:lastPrinted>
  <dcterms:created xsi:type="dcterms:W3CDTF">2021-02-22T08:21:00Z</dcterms:created>
  <dcterms:modified xsi:type="dcterms:W3CDTF">2022-06-03T13:39:00Z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7f907498-357f-32c7-8ace-1a8d9bd9acad</vt:lpwstr>
  </property>
  <property fmtid="{D5CDD505-2E9C-101B-9397-08002B2CF9AE}" pid="24" name="Mendeley Citation Style_1">
    <vt:lpwstr>http://www.zotero.org/styles/chicago-author-date</vt:lpwstr>
  </property>
</Properties>
</file>