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6E1A02" w14:textId="06DE3B1E" w:rsidR="002E5307" w:rsidRPr="002E5307" w:rsidRDefault="002E5307" w:rsidP="002E5307">
      <w:pPr>
        <w:jc w:val="center"/>
        <w:rPr>
          <w:rFonts w:ascii="Calibri" w:eastAsia="Calibri" w:hAnsi="Calibri" w:cs="Calibri"/>
          <w:b/>
          <w:sz w:val="28"/>
          <w:szCs w:val="28"/>
          <w:lang w:val="en-ID"/>
        </w:rPr>
      </w:pPr>
      <w:r w:rsidRPr="002E5307">
        <w:rPr>
          <w:rFonts w:ascii="Calibri" w:eastAsia="Calibri" w:hAnsi="Calibri" w:cs="Calibri"/>
          <w:b/>
          <w:sz w:val="28"/>
          <w:szCs w:val="28"/>
          <w:lang w:val="en-ID"/>
        </w:rPr>
        <w:t xml:space="preserve">Analysis of </w:t>
      </w:r>
      <w:r w:rsidR="00481A63">
        <w:rPr>
          <w:rFonts w:ascii="Calibri" w:eastAsia="Calibri" w:hAnsi="Calibri" w:cs="Calibri"/>
          <w:b/>
          <w:sz w:val="28"/>
          <w:szCs w:val="28"/>
          <w:lang w:val="en-ID"/>
        </w:rPr>
        <w:t xml:space="preserve">Junior High School </w:t>
      </w:r>
      <w:r w:rsidRPr="002E5307">
        <w:rPr>
          <w:rFonts w:ascii="Calibri" w:eastAsia="Calibri" w:hAnsi="Calibri" w:cs="Calibri"/>
          <w:b/>
          <w:sz w:val="28"/>
          <w:szCs w:val="28"/>
          <w:lang w:val="en-ID"/>
        </w:rPr>
        <w:t>Students' Ability to Read the Qur'an Based on Their Learning Environment Support</w:t>
      </w:r>
    </w:p>
    <w:p w14:paraId="5DEB2E31" w14:textId="77777777" w:rsidR="00EE5178" w:rsidRPr="002E5307" w:rsidRDefault="00EE5178">
      <w:pPr>
        <w:jc w:val="both"/>
        <w:rPr>
          <w:rFonts w:ascii="Calibri" w:eastAsia="Calibri" w:hAnsi="Calibri" w:cs="Calibri"/>
          <w:lang w:val="en-ID"/>
        </w:rPr>
      </w:pPr>
    </w:p>
    <w:p w14:paraId="77FC55F1" w14:textId="77777777" w:rsidR="00C27B0D" w:rsidRDefault="00C27B0D" w:rsidP="00C27B0D">
      <w:pPr>
        <w:jc w:val="center"/>
        <w:rPr>
          <w:rFonts w:ascii="Calibri" w:eastAsia="Calibri" w:hAnsi="Calibri" w:cs="Calibri"/>
          <w:b/>
          <w:sz w:val="20"/>
        </w:rPr>
      </w:pPr>
      <w:r>
        <w:rPr>
          <w:rFonts w:ascii="Calibri" w:eastAsia="Calibri" w:hAnsi="Calibri" w:cs="Calibri"/>
          <w:b/>
          <w:sz w:val="20"/>
        </w:rPr>
        <w:t>Muhammad Rizqi</w:t>
      </w:r>
      <w:r>
        <w:rPr>
          <w:rFonts w:ascii="Calibri" w:eastAsia="Calibri" w:hAnsi="Calibri" w:cs="Calibri"/>
          <w:b/>
          <w:sz w:val="20"/>
          <w:vertAlign w:val="superscript"/>
        </w:rPr>
        <w:t>1</w:t>
      </w:r>
      <w:r>
        <w:rPr>
          <w:rFonts w:ascii="Calibri" w:eastAsia="Calibri" w:hAnsi="Calibri" w:cs="Calibri"/>
          <w:b/>
          <w:sz w:val="20"/>
        </w:rPr>
        <w:t>, Zainap hartati</w:t>
      </w:r>
      <w:r>
        <w:rPr>
          <w:rFonts w:ascii="Calibri" w:eastAsia="Calibri" w:hAnsi="Calibri" w:cs="Calibri"/>
          <w:b/>
          <w:sz w:val="20"/>
          <w:vertAlign w:val="superscript"/>
        </w:rPr>
        <w:t>2</w:t>
      </w:r>
      <w:r>
        <w:rPr>
          <w:rFonts w:ascii="Calibri" w:eastAsia="Calibri" w:hAnsi="Calibri" w:cs="Calibri"/>
          <w:b/>
          <w:sz w:val="20"/>
        </w:rPr>
        <w:t>, Abdullah</w:t>
      </w:r>
      <w:r>
        <w:rPr>
          <w:rFonts w:ascii="Calibri" w:eastAsia="Calibri" w:hAnsi="Calibri" w:cs="Calibri"/>
          <w:b/>
          <w:sz w:val="20"/>
          <w:vertAlign w:val="superscript"/>
        </w:rPr>
        <w:t>3</w:t>
      </w:r>
    </w:p>
    <w:p w14:paraId="2679EC66" w14:textId="77777777" w:rsidR="00C27B0D" w:rsidRDefault="00C27B0D" w:rsidP="00C27B0D">
      <w:pPr>
        <w:jc w:val="center"/>
        <w:rPr>
          <w:rFonts w:ascii="Calibri" w:eastAsia="Calibri" w:hAnsi="Calibri" w:cs="Calibri"/>
          <w:sz w:val="20"/>
        </w:rPr>
      </w:pPr>
      <w:r>
        <w:rPr>
          <w:rFonts w:ascii="Calibri" w:eastAsia="Calibri" w:hAnsi="Calibri" w:cs="Calibri"/>
          <w:sz w:val="20"/>
          <w:vertAlign w:val="superscript"/>
        </w:rPr>
        <w:t>1,3</w:t>
      </w:r>
      <w:r w:rsidRPr="00275122">
        <w:rPr>
          <w:rFonts w:ascii="Calibri" w:eastAsia="Calibri" w:hAnsi="Calibri" w:cs="Calibri"/>
          <w:sz w:val="20"/>
        </w:rPr>
        <w:t>Faculty of Tarbiyah and Teacher Training</w:t>
      </w:r>
      <w:r>
        <w:rPr>
          <w:rFonts w:ascii="Calibri" w:eastAsia="Calibri" w:hAnsi="Calibri" w:cs="Calibri"/>
          <w:sz w:val="20"/>
        </w:rPr>
        <w:t>, UIN Palangka Raya, Palangka Raya, Indonesia</w:t>
      </w:r>
    </w:p>
    <w:p w14:paraId="2E6EC379" w14:textId="77777777" w:rsidR="00C27B0D" w:rsidRDefault="00C27B0D" w:rsidP="00C27B0D">
      <w:pPr>
        <w:jc w:val="center"/>
        <w:rPr>
          <w:rFonts w:ascii="Calibri" w:eastAsia="Calibri" w:hAnsi="Calibri" w:cs="Calibri"/>
          <w:sz w:val="20"/>
        </w:rPr>
      </w:pPr>
      <w:r>
        <w:rPr>
          <w:rFonts w:ascii="Calibri" w:eastAsia="Calibri" w:hAnsi="Calibri" w:cs="Calibri"/>
          <w:sz w:val="20"/>
          <w:vertAlign w:val="superscript"/>
        </w:rPr>
        <w:t>2</w:t>
      </w:r>
      <w:r w:rsidRPr="002D42AF">
        <w:rPr>
          <w:rFonts w:ascii="Calibri" w:eastAsia="Calibri" w:hAnsi="Calibri" w:cs="Calibri"/>
          <w:sz w:val="20"/>
        </w:rPr>
        <w:t>Faculty of Ushuluddin, Adab, and Dakwah</w:t>
      </w:r>
      <w:r>
        <w:rPr>
          <w:rFonts w:ascii="Calibri" w:eastAsia="Calibri" w:hAnsi="Calibri" w:cs="Calibri"/>
          <w:sz w:val="20"/>
        </w:rPr>
        <w:t>, UIN Palangka Raya, Palangka Raya, Indonesia</w:t>
      </w:r>
    </w:p>
    <w:p w14:paraId="6A4DB832" w14:textId="77777777" w:rsidR="00C27B0D" w:rsidRPr="00F1781C" w:rsidRDefault="00C27B0D" w:rsidP="00C27B0D">
      <w:pPr>
        <w:jc w:val="center"/>
        <w:rPr>
          <w:rFonts w:ascii="Calibri" w:eastAsia="Calibri" w:hAnsi="Calibri" w:cs="Calibri"/>
          <w:sz w:val="20"/>
        </w:rPr>
      </w:pPr>
      <w:r w:rsidRPr="00F1781C">
        <w:rPr>
          <w:rFonts w:ascii="Calibri" w:eastAsia="Calibri" w:hAnsi="Calibri" w:cs="Calibri"/>
          <w:sz w:val="20"/>
        </w:rPr>
        <w:t xml:space="preserve">E-mail: </w:t>
      </w:r>
      <w:r w:rsidRPr="00F1781C">
        <w:rPr>
          <w:rFonts w:ascii="Calibri" w:eastAsia="Calibri" w:hAnsi="Calibri" w:cs="Calibri"/>
          <w:sz w:val="20"/>
          <w:vertAlign w:val="superscript"/>
        </w:rPr>
        <w:t>1</w:t>
      </w:r>
      <w:hyperlink r:id="rId10" w:history="1">
        <w:r w:rsidRPr="00F1781C">
          <w:rPr>
            <w:rStyle w:val="Hyperlink"/>
            <w:rFonts w:ascii="Calibri" w:eastAsia="Calibri" w:hAnsi="Calibri" w:cs="Calibri"/>
            <w:sz w:val="20"/>
            <w:u w:val="none"/>
          </w:rPr>
          <w:t>muhammadrizqi2211110069@iain-palangkaraya.ac.id</w:t>
        </w:r>
      </w:hyperlink>
      <w:r w:rsidRPr="00F1781C">
        <w:rPr>
          <w:rFonts w:ascii="Calibri" w:eastAsia="Calibri" w:hAnsi="Calibri" w:cs="Calibri"/>
          <w:sz w:val="20"/>
        </w:rPr>
        <w:t xml:space="preserve">*, </w:t>
      </w:r>
      <w:r w:rsidRPr="00F1781C">
        <w:rPr>
          <w:rFonts w:ascii="Calibri" w:eastAsia="Calibri" w:hAnsi="Calibri" w:cs="Calibri"/>
          <w:sz w:val="20"/>
          <w:vertAlign w:val="superscript"/>
        </w:rPr>
        <w:t>2</w:t>
      </w:r>
      <w:hyperlink r:id="rId11" w:history="1">
        <w:r w:rsidRPr="00F1781C">
          <w:rPr>
            <w:rStyle w:val="Hyperlink"/>
            <w:rFonts w:ascii="Calibri" w:eastAsia="Calibri" w:hAnsi="Calibri" w:cs="Calibri"/>
            <w:sz w:val="20"/>
            <w:u w:val="none"/>
          </w:rPr>
          <w:t>zainaphartati@iain-palangkaraya.ac.id@mail.com</w:t>
        </w:r>
      </w:hyperlink>
      <w:r w:rsidRPr="00F1781C">
        <w:rPr>
          <w:rFonts w:ascii="Calibri" w:eastAsia="Calibri" w:hAnsi="Calibri" w:cs="Calibri"/>
          <w:sz w:val="20"/>
        </w:rPr>
        <w:t xml:space="preserve"> , </w:t>
      </w:r>
      <w:r w:rsidRPr="00F1781C">
        <w:rPr>
          <w:rFonts w:ascii="Calibri" w:eastAsia="Calibri" w:hAnsi="Calibri" w:cs="Calibri"/>
          <w:sz w:val="20"/>
          <w:vertAlign w:val="superscript"/>
        </w:rPr>
        <w:t>3</w:t>
      </w:r>
      <w:hyperlink r:id="rId12" w:history="1">
        <w:r w:rsidRPr="00F1781C">
          <w:rPr>
            <w:rStyle w:val="Hyperlink"/>
            <w:rFonts w:ascii="Calibri" w:eastAsia="Calibri" w:hAnsi="Calibri" w:cs="Calibri"/>
            <w:sz w:val="20"/>
            <w:u w:val="none"/>
          </w:rPr>
          <w:t>abdullah@iain-palangkaraya.ac.id</w:t>
        </w:r>
      </w:hyperlink>
      <w:r w:rsidRPr="00F1781C">
        <w:rPr>
          <w:rFonts w:ascii="Calibri" w:eastAsia="Calibri" w:hAnsi="Calibri" w:cs="Calibri"/>
          <w:sz w:val="20"/>
        </w:rPr>
        <w:t xml:space="preserve"> </w:t>
      </w:r>
    </w:p>
    <w:p w14:paraId="42A03BB1" w14:textId="77777777" w:rsidR="00C27B0D" w:rsidRDefault="00C27B0D" w:rsidP="00C27B0D">
      <w:pPr>
        <w:jc w:val="center"/>
        <w:rPr>
          <w:rFonts w:ascii="Calibri" w:eastAsia="Calibri" w:hAnsi="Calibri" w:cs="Calibri"/>
          <w:b/>
          <w:sz w:val="20"/>
        </w:rPr>
      </w:pPr>
      <w:r>
        <w:rPr>
          <w:rFonts w:ascii="Calibri" w:eastAsia="Calibri" w:hAnsi="Calibri" w:cs="Calibri"/>
          <w:sz w:val="20"/>
        </w:rPr>
        <w:t>*Corresponding Author</w:t>
      </w:r>
    </w:p>
    <w:p w14:paraId="181ED3DD" w14:textId="77777777" w:rsidR="00C27B0D" w:rsidRDefault="00C27B0D" w:rsidP="00C27B0D">
      <w:pPr>
        <w:tabs>
          <w:tab w:val="left" w:pos="5124"/>
        </w:tabs>
        <w:jc w:val="center"/>
        <w:rPr>
          <w:rFonts w:ascii="Calibri" w:eastAsia="Calibri" w:hAnsi="Calibri" w:cs="Calibri"/>
          <w:b/>
          <w:sz w:val="20"/>
        </w:rPr>
      </w:pPr>
    </w:p>
    <w:p w14:paraId="0764B4D5" w14:textId="77777777" w:rsidR="00C27B0D" w:rsidRDefault="00C27B0D" w:rsidP="00C27B0D">
      <w:pPr>
        <w:tabs>
          <w:tab w:val="left" w:pos="5124"/>
        </w:tabs>
        <w:jc w:val="center"/>
        <w:rPr>
          <w:rFonts w:ascii="Calibri" w:eastAsia="Calibri" w:hAnsi="Calibri" w:cs="Calibri"/>
          <w:i/>
          <w:sz w:val="18"/>
          <w:szCs w:val="18"/>
        </w:rPr>
      </w:pPr>
      <w:r>
        <w:rPr>
          <w:rFonts w:ascii="Calibri" w:eastAsia="Calibri" w:hAnsi="Calibri" w:cs="Calibri"/>
          <w:i/>
          <w:sz w:val="18"/>
          <w:szCs w:val="18"/>
        </w:rPr>
        <w:t>Article History:</w:t>
      </w:r>
    </w:p>
    <w:p w14:paraId="71B2819A" w14:textId="04FA2374" w:rsidR="00C27B0D" w:rsidRDefault="00C27B0D" w:rsidP="00C27B0D">
      <w:pPr>
        <w:tabs>
          <w:tab w:val="left" w:pos="5124"/>
        </w:tabs>
        <w:jc w:val="center"/>
        <w:rPr>
          <w:rFonts w:ascii="Calibri" w:eastAsia="Calibri" w:hAnsi="Calibri" w:cs="Calibri"/>
          <w:i/>
          <w:sz w:val="18"/>
          <w:szCs w:val="18"/>
        </w:rPr>
      </w:pPr>
      <w:r>
        <w:rPr>
          <w:rFonts w:ascii="Calibri" w:eastAsia="Calibri" w:hAnsi="Calibri" w:cs="Calibri"/>
          <w:i/>
          <w:sz w:val="18"/>
          <w:szCs w:val="18"/>
        </w:rPr>
        <w:t xml:space="preserve">Received: </w:t>
      </w:r>
      <w:r>
        <w:rPr>
          <w:rFonts w:ascii="Calibri" w:eastAsia="Calibri" w:hAnsi="Calibri" w:cs="Calibri"/>
          <w:i/>
          <w:sz w:val="18"/>
          <w:szCs w:val="18"/>
        </w:rPr>
        <w:t xml:space="preserve">June 10, 2025; Revised: </w:t>
      </w:r>
      <w:r w:rsidR="00F1781C">
        <w:rPr>
          <w:rFonts w:ascii="Calibri" w:eastAsia="Calibri" w:hAnsi="Calibri" w:cs="Calibri"/>
          <w:i/>
          <w:sz w:val="18"/>
          <w:szCs w:val="18"/>
        </w:rPr>
        <w:t>July 6, 2025</w:t>
      </w:r>
      <w:r>
        <w:rPr>
          <w:rFonts w:ascii="Calibri" w:eastAsia="Calibri" w:hAnsi="Calibri" w:cs="Calibri"/>
          <w:i/>
          <w:sz w:val="18"/>
          <w:szCs w:val="18"/>
        </w:rPr>
        <w:t xml:space="preserve">; Accepted: </w:t>
      </w:r>
      <w:r w:rsidR="00F1781C">
        <w:rPr>
          <w:rFonts w:ascii="Calibri" w:eastAsia="Calibri" w:hAnsi="Calibri" w:cs="Calibri"/>
          <w:i/>
          <w:sz w:val="18"/>
          <w:szCs w:val="18"/>
        </w:rPr>
        <w:t>July 9</w:t>
      </w:r>
      <w:r>
        <w:rPr>
          <w:rFonts w:ascii="Calibri" w:eastAsia="Calibri" w:hAnsi="Calibri" w:cs="Calibri"/>
          <w:i/>
          <w:sz w:val="18"/>
          <w:szCs w:val="18"/>
        </w:rPr>
        <w:t>, 20</w:t>
      </w:r>
      <w:r w:rsidR="00F1781C">
        <w:rPr>
          <w:rFonts w:ascii="Calibri" w:eastAsia="Calibri" w:hAnsi="Calibri" w:cs="Calibri"/>
          <w:i/>
          <w:sz w:val="18"/>
          <w:szCs w:val="18"/>
        </w:rPr>
        <w:t>25; Published: July 31, 2025</w:t>
      </w:r>
    </w:p>
    <w:p w14:paraId="25EE1A64" w14:textId="77777777" w:rsidR="00EE5178" w:rsidRDefault="00EE5178">
      <w:pPr>
        <w:rPr>
          <w:rFonts w:ascii="Calibri" w:eastAsia="Calibri" w:hAnsi="Calibri" w:cs="Calibri"/>
          <w:b/>
          <w:sz w:val="20"/>
        </w:rPr>
      </w:pPr>
    </w:p>
    <w:tbl>
      <w:tblPr>
        <w:tblStyle w:val="a"/>
        <w:tblW w:w="8507" w:type="dxa"/>
        <w:tblInd w:w="108" w:type="dxa"/>
        <w:tblBorders>
          <w:top w:val="single" w:sz="4" w:space="0" w:color="4F81BD"/>
          <w:left w:val="nil"/>
          <w:bottom w:val="single" w:sz="4" w:space="0" w:color="4F81BD"/>
          <w:right w:val="nil"/>
          <w:insideH w:val="nil"/>
          <w:insideV w:val="nil"/>
        </w:tblBorders>
        <w:tblLayout w:type="fixed"/>
        <w:tblLook w:val="0400" w:firstRow="0" w:lastRow="0" w:firstColumn="0" w:lastColumn="0" w:noHBand="0" w:noVBand="1"/>
      </w:tblPr>
      <w:tblGrid>
        <w:gridCol w:w="8507"/>
      </w:tblGrid>
      <w:tr w:rsidR="00EE5178" w14:paraId="5115BB78" w14:textId="77777777" w:rsidTr="00C27B0D">
        <w:tc>
          <w:tcPr>
            <w:tcW w:w="8507" w:type="dxa"/>
            <w:shd w:val="clear" w:color="auto" w:fill="F2F2F2"/>
          </w:tcPr>
          <w:p w14:paraId="3A7742C6" w14:textId="77777777" w:rsidR="00EE5178" w:rsidRDefault="00EE5178">
            <w:pPr>
              <w:jc w:val="both"/>
              <w:rPr>
                <w:b/>
              </w:rPr>
            </w:pPr>
          </w:p>
          <w:p w14:paraId="46F592E8" w14:textId="77777777" w:rsidR="00F968F9" w:rsidRPr="00F968F9" w:rsidRDefault="00F968F9" w:rsidP="00F968F9">
            <w:pPr>
              <w:jc w:val="both"/>
              <w:rPr>
                <w:rFonts w:asciiTheme="minorHAnsi" w:hAnsiTheme="minorHAnsi" w:cstheme="minorHAnsi"/>
                <w:b/>
              </w:rPr>
            </w:pPr>
            <w:r w:rsidRPr="00F968F9">
              <w:rPr>
                <w:rFonts w:asciiTheme="minorHAnsi" w:hAnsiTheme="minorHAnsi" w:cstheme="minorHAnsi"/>
                <w:b/>
              </w:rPr>
              <w:t>ABSTRACT</w:t>
            </w:r>
          </w:p>
          <w:p w14:paraId="5611B130" w14:textId="77777777" w:rsidR="00F968F9" w:rsidRPr="00F968F9" w:rsidRDefault="00F968F9" w:rsidP="00F968F9">
            <w:pPr>
              <w:jc w:val="both"/>
              <w:rPr>
                <w:rFonts w:asciiTheme="minorHAnsi" w:hAnsiTheme="minorHAnsi" w:cstheme="minorHAnsi"/>
                <w:b/>
              </w:rPr>
            </w:pPr>
          </w:p>
          <w:p w14:paraId="1C397CFD" w14:textId="34985D1D" w:rsidR="00F968F9" w:rsidRDefault="00355ABA" w:rsidP="00F968F9">
            <w:pPr>
              <w:jc w:val="both"/>
              <w:rPr>
                <w:rFonts w:asciiTheme="minorHAnsi" w:hAnsiTheme="minorHAnsi" w:cstheme="minorHAnsi"/>
              </w:rPr>
            </w:pPr>
            <w:r w:rsidRPr="00355ABA">
              <w:rPr>
                <w:rFonts w:asciiTheme="minorHAnsi" w:hAnsiTheme="minorHAnsi" w:cstheme="minorHAnsi"/>
              </w:rPr>
              <w:t>This study aims to analyze the ability of junior high school students to read the Qur'an based on their learning environment. Using a descriptive qualitative approach, data were collected through observation, in-depth interviews, and documentation of 10 seventh-grade students, Islamic Education teachers, the Deputy Head of Student Affairs, and the Principal. The results of the study indicate that the absence of programs to encourage Quran reading at school, limited time for religious education, and a lack of support and guidance from parents are the main factors contributing to students' low ability to read the Quran. Additionally, limited facilities such as the availability of Quran manuscripts at home and an unsupportive social environment further exacerbate the situation. These findings emphasize the importance of collaboration between schools, families, and communities in fostering sustainable Quran reading habits, through the implementation of special programs at schools, increased parental involvement, and the provision of adequate learning facilities. With collective efforts, it is hoped that students' Quran reading skills will develop optimally and support character development and the quality of religious education at junior high schools.</w:t>
            </w:r>
          </w:p>
          <w:p w14:paraId="24BDB557" w14:textId="77777777" w:rsidR="00355ABA" w:rsidRPr="00F968F9" w:rsidRDefault="00355ABA" w:rsidP="00F968F9">
            <w:pPr>
              <w:jc w:val="both"/>
              <w:rPr>
                <w:rFonts w:asciiTheme="minorHAnsi" w:hAnsiTheme="minorHAnsi" w:cstheme="minorHAnsi"/>
              </w:rPr>
            </w:pPr>
          </w:p>
          <w:p w14:paraId="709CF952" w14:textId="0F06CF70" w:rsidR="00EE5178" w:rsidRPr="00F968F9" w:rsidRDefault="00F968F9" w:rsidP="00F968F9">
            <w:pPr>
              <w:jc w:val="both"/>
              <w:rPr>
                <w:rFonts w:asciiTheme="minorHAnsi" w:hAnsiTheme="minorHAnsi" w:cstheme="minorHAnsi"/>
                <w:i/>
              </w:rPr>
            </w:pPr>
            <w:r w:rsidRPr="00F968F9">
              <w:rPr>
                <w:rFonts w:asciiTheme="minorHAnsi" w:hAnsiTheme="minorHAnsi" w:cstheme="minorHAnsi"/>
                <w:b/>
              </w:rPr>
              <w:t xml:space="preserve">Keywords: </w:t>
            </w:r>
            <w:r w:rsidRPr="00F968F9">
              <w:rPr>
                <w:rFonts w:asciiTheme="minorHAnsi" w:hAnsiTheme="minorHAnsi" w:cstheme="minorHAnsi"/>
                <w:i/>
              </w:rPr>
              <w:t xml:space="preserve">Qur’anic Reading Skills, Junior High School Students, Causal Factors, </w:t>
            </w:r>
            <w:r w:rsidR="00481A63">
              <w:rPr>
                <w:rFonts w:asciiTheme="minorHAnsi" w:hAnsiTheme="minorHAnsi" w:cstheme="minorHAnsi"/>
                <w:i/>
              </w:rPr>
              <w:t>Reading Habits</w:t>
            </w:r>
            <w:r w:rsidRPr="00F968F9">
              <w:rPr>
                <w:rFonts w:asciiTheme="minorHAnsi" w:hAnsiTheme="minorHAnsi" w:cstheme="minorHAnsi"/>
                <w:i/>
              </w:rPr>
              <w:t>,</w:t>
            </w:r>
            <w:r w:rsidR="00481A63">
              <w:rPr>
                <w:rFonts w:asciiTheme="minorHAnsi" w:hAnsiTheme="minorHAnsi" w:cstheme="minorHAnsi"/>
                <w:i/>
              </w:rPr>
              <w:t xml:space="preserve"> Learning Environment</w:t>
            </w:r>
          </w:p>
        </w:tc>
      </w:tr>
    </w:tbl>
    <w:p w14:paraId="49C5CE06" w14:textId="77777777" w:rsidR="00EE5178" w:rsidRDefault="00EE5178">
      <w:pPr>
        <w:jc w:val="both"/>
        <w:rPr>
          <w:rFonts w:ascii="Calibri" w:eastAsia="Calibri" w:hAnsi="Calibri" w:cs="Calibri"/>
          <w:b/>
          <w:sz w:val="20"/>
        </w:rPr>
      </w:pPr>
    </w:p>
    <w:tbl>
      <w:tblPr>
        <w:tblStyle w:val="a0"/>
        <w:tblW w:w="8723" w:type="dxa"/>
        <w:tblInd w:w="-34" w:type="dxa"/>
        <w:tblBorders>
          <w:top w:val="nil"/>
          <w:left w:val="nil"/>
          <w:bottom w:val="nil"/>
          <w:right w:val="nil"/>
          <w:insideH w:val="nil"/>
          <w:insideV w:val="nil"/>
        </w:tblBorders>
        <w:tblLayout w:type="fixed"/>
        <w:tblLook w:val="0400" w:firstRow="0" w:lastRow="0" w:firstColumn="0" w:lastColumn="0" w:noHBand="0" w:noVBand="1"/>
      </w:tblPr>
      <w:tblGrid>
        <w:gridCol w:w="1626"/>
        <w:gridCol w:w="7097"/>
      </w:tblGrid>
      <w:tr w:rsidR="00EE5178" w14:paraId="6A9E058C" w14:textId="77777777" w:rsidTr="00C27B0D">
        <w:tc>
          <w:tcPr>
            <w:tcW w:w="1626" w:type="dxa"/>
          </w:tcPr>
          <w:p w14:paraId="447D9771" w14:textId="77777777" w:rsidR="00EE5178" w:rsidRDefault="00A274B2" w:rsidP="00C27B0D">
            <w:pPr>
              <w:ind w:firstLine="34"/>
              <w:jc w:val="both"/>
              <w:rPr>
                <w:b/>
              </w:rPr>
            </w:pPr>
            <w:r>
              <w:rPr>
                <w:b/>
                <w:noProof/>
                <w:lang w:val="id-ID" w:eastAsia="id-ID"/>
              </w:rPr>
              <w:drawing>
                <wp:inline distT="0" distB="0" distL="0" distR="0" wp14:anchorId="23B33FBD" wp14:editId="2EA10A2E">
                  <wp:extent cx="890945" cy="31432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890945" cy="314325"/>
                          </a:xfrm>
                          <a:prstGeom prst="rect">
                            <a:avLst/>
                          </a:prstGeom>
                          <a:ln/>
                        </pic:spPr>
                      </pic:pic>
                    </a:graphicData>
                  </a:graphic>
                </wp:inline>
              </w:drawing>
            </w:r>
          </w:p>
        </w:tc>
        <w:tc>
          <w:tcPr>
            <w:tcW w:w="7097" w:type="dxa"/>
          </w:tcPr>
          <w:p w14:paraId="2127AD09" w14:textId="56908800" w:rsidR="00EE5178" w:rsidRDefault="00C27B0D">
            <w:pPr>
              <w:rPr>
                <w:b/>
                <w:i/>
              </w:rPr>
            </w:pPr>
            <w:r>
              <w:rPr>
                <w:b/>
                <w:i/>
              </w:rPr>
              <w:t xml:space="preserve">Copyright © 2025 </w:t>
            </w:r>
            <w:r w:rsidR="00A274B2">
              <w:rPr>
                <w:b/>
                <w:i/>
              </w:rPr>
              <w:t>The Author(s)</w:t>
            </w:r>
          </w:p>
          <w:p w14:paraId="0A25E3BA" w14:textId="77777777" w:rsidR="00EE5178" w:rsidRDefault="00A274B2">
            <w:pPr>
              <w:rPr>
                <w:b/>
              </w:rPr>
            </w:pPr>
            <w:r>
              <w:rPr>
                <w:b/>
                <w:i/>
              </w:rPr>
              <w:t xml:space="preserve">This is an open-access article under the </w:t>
            </w:r>
            <w:hyperlink r:id="rId14">
              <w:r>
                <w:rPr>
                  <w:b/>
                  <w:i/>
                  <w:color w:val="0000FF"/>
                </w:rPr>
                <w:t>CC BY-SA</w:t>
              </w:r>
            </w:hyperlink>
            <w:r>
              <w:rPr>
                <w:b/>
                <w:i/>
              </w:rPr>
              <w:t xml:space="preserve"> license.</w:t>
            </w:r>
          </w:p>
        </w:tc>
      </w:tr>
    </w:tbl>
    <w:p w14:paraId="4B47C7CA" w14:textId="77777777" w:rsidR="00EE5178" w:rsidRDefault="00EE5178">
      <w:pPr>
        <w:jc w:val="both"/>
        <w:rPr>
          <w:rFonts w:ascii="Calibri" w:eastAsia="Calibri" w:hAnsi="Calibri" w:cs="Calibri"/>
          <w:b/>
          <w:sz w:val="20"/>
        </w:rPr>
      </w:pPr>
    </w:p>
    <w:p w14:paraId="1BC87ADC" w14:textId="77777777" w:rsidR="00EE5178" w:rsidRDefault="00A274B2">
      <w:pPr>
        <w:rPr>
          <w:rFonts w:ascii="Calibri" w:eastAsia="Calibri" w:hAnsi="Calibri" w:cs="Calibri"/>
          <w:b/>
          <w:sz w:val="22"/>
          <w:szCs w:val="22"/>
        </w:rPr>
      </w:pPr>
      <w:bookmarkStart w:id="0" w:name="_heading=h.gjdgxs" w:colFirst="0" w:colLast="0"/>
      <w:bookmarkEnd w:id="0"/>
      <w:r>
        <w:rPr>
          <w:rFonts w:ascii="Calibri" w:eastAsia="Calibri" w:hAnsi="Calibri" w:cs="Calibri"/>
          <w:b/>
          <w:sz w:val="22"/>
          <w:szCs w:val="22"/>
        </w:rPr>
        <w:t>INTRODUCTION</w:t>
      </w:r>
    </w:p>
    <w:p w14:paraId="6B470E1B" w14:textId="1043F837" w:rsidR="003B560C" w:rsidRPr="00662FAB" w:rsidRDefault="003B560C" w:rsidP="00C27B0D">
      <w:pPr>
        <w:ind w:firstLine="426"/>
        <w:jc w:val="both"/>
        <w:rPr>
          <w:rFonts w:asciiTheme="minorHAnsi" w:hAnsiTheme="minorHAnsi" w:cstheme="minorHAnsi"/>
          <w:sz w:val="22"/>
          <w:szCs w:val="22"/>
        </w:rPr>
      </w:pPr>
      <w:bookmarkStart w:id="1" w:name="_Hlk200901587"/>
      <w:bookmarkStart w:id="2" w:name="_Hlk200901663"/>
      <w:r w:rsidRPr="00247A5C">
        <w:rPr>
          <w:rFonts w:asciiTheme="minorHAnsi" w:hAnsiTheme="minorHAnsi" w:cstheme="minorHAnsi"/>
          <w:sz w:val="22"/>
          <w:szCs w:val="22"/>
          <w:lang w:val="en-ID"/>
        </w:rPr>
        <w:t xml:space="preserve">The ability to read the Qur'an is a fundamental skill that every student must possess in Islamic religious education. </w:t>
      </w:r>
      <w:r w:rsidRPr="00F31806">
        <w:rPr>
          <w:rFonts w:asciiTheme="minorHAnsi" w:hAnsiTheme="minorHAnsi" w:cstheme="minorHAnsi"/>
          <w:sz w:val="22"/>
          <w:szCs w:val="22"/>
          <w:lang w:val="en-ID"/>
        </w:rPr>
        <w:t xml:space="preserve">Previous studies such as those by </w:t>
      </w:r>
      <w:r>
        <w:rPr>
          <w:rFonts w:asciiTheme="minorHAnsi" w:hAnsiTheme="minorHAnsi" w:cstheme="minorHAnsi"/>
          <w:sz w:val="22"/>
          <w:szCs w:val="22"/>
        </w:rPr>
        <w:fldChar w:fldCharType="begin" w:fldLock="1"/>
      </w:r>
      <w:r>
        <w:rPr>
          <w:rFonts w:asciiTheme="minorHAnsi" w:hAnsiTheme="minorHAnsi" w:cstheme="minorHAnsi"/>
          <w:sz w:val="22"/>
          <w:szCs w:val="22"/>
        </w:rPr>
        <w:instrText>ADDIN CSL_CITATION {"citationItems":[{"id":"ITEM-1","itemData":{"DOI":"https://joqer.intischolar.id/index.php/joqer/article/view/4","author":[{"dropping-particle":"","family":"Fitriani","given":"Fitriani","non-dropping-particle":"","parse-names":false,"suffix":""},{"dropping-particle":"","family":"Susanti","given":"Weti","non-dropping-particle":"","parse-names":false,"suffix":""},{"dropping-particle":"","family":"Putri","given":"Nadia","non-dropping-particle":"","parse-names":false,"suffix":""}],"container-title":"Journal of Quranic Teaching and Learning","id":"ITEM-1","issue":"1","issued":{"date-parts":[["2024"]]},"page":"1-10","title":"Five Challenges of Quran Learning in Islamic Education Institutions","type":"article-journal","volume":"1"},"uris":["http://www.mendeley.com/documents/?uuid=c6e327f5-fd35-4251-9710-87416cd494ec"]}],"mendeley":{"formattedCitation":"(Fitriani et al., 2024)","manualFormatting":"Fitriani et al. (2024)","plainTextFormattedCitation":"(Fitriani et al., 2024)","previouslyFormattedCitation":"(Fitriani et al., 2024)"},"properties":{"noteIndex":0},"schema":"https://github.com/citation-style-language/schema/raw/master/csl-citation.json"}</w:instrText>
      </w:r>
      <w:r>
        <w:rPr>
          <w:rFonts w:asciiTheme="minorHAnsi" w:hAnsiTheme="minorHAnsi" w:cstheme="minorHAnsi"/>
          <w:sz w:val="22"/>
          <w:szCs w:val="22"/>
        </w:rPr>
        <w:fldChar w:fldCharType="separate"/>
      </w:r>
      <w:r w:rsidRPr="002D3609">
        <w:rPr>
          <w:rFonts w:asciiTheme="minorHAnsi" w:hAnsiTheme="minorHAnsi" w:cstheme="minorHAnsi"/>
          <w:noProof/>
          <w:sz w:val="22"/>
          <w:szCs w:val="22"/>
        </w:rPr>
        <w:t xml:space="preserve">Fitriani et al. </w:t>
      </w:r>
      <w:r>
        <w:rPr>
          <w:rFonts w:asciiTheme="minorHAnsi" w:hAnsiTheme="minorHAnsi" w:cstheme="minorHAnsi"/>
          <w:noProof/>
          <w:sz w:val="22"/>
          <w:szCs w:val="22"/>
        </w:rPr>
        <w:t>(</w:t>
      </w:r>
      <w:r w:rsidRPr="002D3609">
        <w:rPr>
          <w:rFonts w:asciiTheme="minorHAnsi" w:hAnsiTheme="minorHAnsi" w:cstheme="minorHAnsi"/>
          <w:noProof/>
          <w:sz w:val="22"/>
          <w:szCs w:val="22"/>
        </w:rPr>
        <w:t>2024)</w:t>
      </w:r>
      <w:r>
        <w:rPr>
          <w:rFonts w:asciiTheme="minorHAnsi" w:hAnsiTheme="minorHAnsi" w:cstheme="minorHAnsi"/>
          <w:sz w:val="22"/>
          <w:szCs w:val="22"/>
        </w:rPr>
        <w:fldChar w:fldCharType="end"/>
      </w:r>
      <w:r>
        <w:rPr>
          <w:rFonts w:asciiTheme="minorHAnsi" w:hAnsiTheme="minorHAnsi" w:cstheme="minorHAnsi"/>
          <w:sz w:val="22"/>
          <w:szCs w:val="22"/>
        </w:rPr>
        <w:t xml:space="preserve">, </w:t>
      </w:r>
      <w:r>
        <w:rPr>
          <w:rStyle w:val="FootnoteReference"/>
          <w:rFonts w:asciiTheme="minorHAnsi" w:hAnsiTheme="minorHAnsi" w:cstheme="minorHAnsi"/>
          <w:sz w:val="22"/>
          <w:szCs w:val="22"/>
        </w:rPr>
        <w:fldChar w:fldCharType="begin" w:fldLock="1"/>
      </w:r>
      <w:r>
        <w:rPr>
          <w:rFonts w:asciiTheme="minorHAnsi" w:hAnsiTheme="minorHAnsi" w:cstheme="minorHAnsi"/>
          <w:sz w:val="22"/>
          <w:szCs w:val="22"/>
        </w:rPr>
        <w:instrText>ADDIN CSL_CITATION {"citationItems":[{"id":"ITEM-1","itemData":{"DOI":"10.24252/jis.v7i1.15035","ISSN":"2407-5353","abstract":"This study examines the ability to read and write Al Qur’an and its effect on learning achievement of Islamic education for students at SDN Inpres 12/79 Kampuno, Barebbo Sub-district, Bone Regency with main issues (1) What is the level of reading and writing ability of the Qur’an for students in SDN Inpres 12/79 Kampuno, Barebbo Sub-district, Bone Regency? (2) What factors influence the ability to read and write the Qur'an for students at SDN Inpres 12/79 Kampuno, Barebbo Sub-district, Bone Regency? (3) the effect of reading and writing al-Qur'an on the learning achievement of Islamic education at SDN Inpres 12/79 Kampuno, Barebbo Sub-district, Bone Regency?. To answer these problems, the authors use library research, that is, researchers examine theories in books relating to reading and writing of the Qur’an and field research, researchers examining data taken in the field, which consists of questionnaires, interviews (interviews), observations, documentation and data analysis methods inductively, deductively and comparatively. Results showed that the ability to read and write Al Qur’an for students in SDN Inpres 12/79 Kampuno, Barebbo Sub-district, Bone Regency was fluent. Factors that influence the learning achievement of Islamic education for students in SDN Inpres 12/79 Kampuno, Barebbo Sub-district, Bone Regency are internal and extrenal factors. The ability to read and write the Qur'an has a significant influence on the learning achievement of Islamic education for students in SDN Inpres 12/79 Kampuno, Barebbo Sub-district, Bone Regency.","author":[{"dropping-particle":"","family":"Harta","given":"Muhammad","non-dropping-particle":"","parse-names":false,"suffix":""}],"container-title":"Journal of Islam and Science","id":"ITEM-1","issue":"1","issued":{"date-parts":[["2020"]]},"page":"49-54","title":"Role of Al-Qur'an Read and Write Ability toward Achievement of Islamic Education for Students at SDN Inpres 12/79 Kampuno Attobaja Village Barebbo Sub-District Bone Regency","type":"article-journal","volume":"7"},"uris":["http://www.mendeley.com/documents/?uuid=796d3f30-3cad-4dfa-9700-f9362f3c6e85"]}],"mendeley":{"formattedCitation":"(Harta, 2020)","manualFormatting":"Harta  (2020)","plainTextFormattedCitation":"(Harta, 2020)","previouslyFormattedCitation":"(Harta, 2020)"},"properties":{"noteIndex":0},"schema":"https://github.com/citation-style-language/schema/raw/master/csl-citation.json"}</w:instrText>
      </w:r>
      <w:r>
        <w:rPr>
          <w:rStyle w:val="FootnoteReference"/>
          <w:rFonts w:asciiTheme="minorHAnsi" w:hAnsiTheme="minorHAnsi" w:cstheme="minorHAnsi"/>
          <w:sz w:val="22"/>
          <w:szCs w:val="22"/>
        </w:rPr>
        <w:fldChar w:fldCharType="separate"/>
      </w:r>
      <w:r>
        <w:rPr>
          <w:rFonts w:asciiTheme="minorHAnsi" w:hAnsiTheme="minorHAnsi" w:cstheme="minorHAnsi"/>
          <w:noProof/>
          <w:sz w:val="22"/>
          <w:szCs w:val="22"/>
        </w:rPr>
        <w:t>Harta  (2020)</w:t>
      </w:r>
      <w:r>
        <w:rPr>
          <w:rStyle w:val="FootnoteReference"/>
          <w:rFonts w:asciiTheme="minorHAnsi" w:hAnsiTheme="minorHAnsi" w:cstheme="minorHAnsi"/>
          <w:sz w:val="22"/>
          <w:szCs w:val="22"/>
        </w:rPr>
        <w:fldChar w:fldCharType="end"/>
      </w:r>
      <w:r>
        <w:rPr>
          <w:rFonts w:asciiTheme="minorHAnsi" w:hAnsiTheme="minorHAnsi" w:cstheme="minorHAnsi"/>
          <w:sz w:val="22"/>
          <w:szCs w:val="22"/>
        </w:rPr>
        <w:t xml:space="preserve">, </w:t>
      </w:r>
      <w:r>
        <w:rPr>
          <w:rStyle w:val="FootnoteReference"/>
          <w:rFonts w:asciiTheme="minorHAnsi" w:hAnsiTheme="minorHAnsi" w:cstheme="minorHAnsi"/>
          <w:sz w:val="22"/>
          <w:szCs w:val="22"/>
        </w:rPr>
        <w:fldChar w:fldCharType="begin" w:fldLock="1"/>
      </w:r>
      <w:r>
        <w:rPr>
          <w:rFonts w:asciiTheme="minorHAnsi" w:hAnsiTheme="minorHAnsi" w:cstheme="minorHAnsi"/>
          <w:sz w:val="22"/>
          <w:szCs w:val="22"/>
        </w:rPr>
        <w:instrText>ADDIN CSL_CITATION {"citationItems":[{"id":"ITEM-1","itemData":{"DOI":"10.33511/misykat.v1n1.181","ISSN":"2527-8371","abstract":"Pada saat akan menjadi mahasiswa maupun kegiatan perkuliahan praktikum Praktik Membaca al-Quran (PMQ), mahasiswa IAIN Palangka Raya telah mengikuti test membaca al-Quran namun kemampuan membaca masih belum maksimal diperoleh mahasiswa yang mengalami kesulitan untuk membaca al-Quran dengan baik dan benar. Tujuan penelitian ini adalah mencoba menggali problem sebelum dan proses yang dilalui mahasiswa, sehingga akan ditemukan solusi atas persoalan kemampuan baca al-Quran mahasiswa IAIN Palangka Raya. Penelitian dilakukan di IAIN Palangka Raya. Penelitian ini akan menggunakan pendekatan deskriptif kualitatif. Informan adalah mahasiswa IAIN Palangka Raya. Teknik pengumpulan data yang digunakan pada penelitian adalah: wawancara, observasi dan dokumentasi. Penelitian ini menunjukkan bahwa: Metodologi yang digunakan mahasiswa IAIN Palangka Raya dalam mempelajari al-Quran pertama kali dominan diperoleh dari orang tua, kemudian diperoleh dari keluarga lainnya, selanjutnya diperoleh melalui guru mengaji maupun lembaga. Pendayagunaan kompetensi baca al-Quran oleh mahasiswa IAIN Palangka Raya, jika senantiasa dibaca dan dipelajari akan semakin baik bacaan al-Quran bahkan dapat mengajarkan kepada yang lainnya. Refleksi yang diperoleh dari pembelajaran al-Quran ketenangan hati, mendapatkan petunjuk, pahala yang berlipat dari bacaan al-Quran.Kata Kunci : Metodologi, Belajar, Baca Tulis al-Quran","author":[{"dropping-particle":"","family":"Hartati","given":"Zaenap","non-dropping-particle":"","parse-names":false,"suffix":""},{"dropping-particle":"","family":"Emawati","given":"Emawati","non-dropping-particle":"","parse-names":false,"suffix":""},{"dropping-particle":"","family":"Dalimunte","given":"Latifah Anum","non-dropping-particle":"","parse-names":false,"suffix":""}],"container-title":"MISYKAT: Jurnal Ilmu-ilmu Al-Quran, Hadist, Syari'ah dan Tarbiyah","id":"ITEM-1","issue":"1","issued":{"date-parts":[["2016"]]},"page":"181","title":"Metodologi Baca Tulis Al-Quran: Refleksi Belajar Al-Quran Pada Mahasiswa IAIN Palangkaraya","type":"article-journal","volume":"1"},"uris":["http://www.mendeley.com/documents/?uuid=489dc637-cbe5-4993-b3a8-34e112088efd"]}],"mendeley":{"formattedCitation":"(Hartati et al., 2016)","manualFormatting":"Hartati et al. (2016)","plainTextFormattedCitation":"(Hartati et al., 2016)","previouslyFormattedCitation":"(Hartati et al., 2016)"},"properties":{"noteIndex":0},"schema":"https://github.com/citation-style-language/schema/raw/master/csl-citation.json"}</w:instrText>
      </w:r>
      <w:r>
        <w:rPr>
          <w:rStyle w:val="FootnoteReference"/>
          <w:rFonts w:asciiTheme="minorHAnsi" w:hAnsiTheme="minorHAnsi" w:cstheme="minorHAnsi"/>
          <w:sz w:val="22"/>
          <w:szCs w:val="22"/>
        </w:rPr>
        <w:fldChar w:fldCharType="separate"/>
      </w:r>
      <w:r>
        <w:rPr>
          <w:rFonts w:asciiTheme="minorHAnsi" w:hAnsiTheme="minorHAnsi" w:cstheme="minorHAnsi"/>
          <w:noProof/>
          <w:sz w:val="22"/>
          <w:szCs w:val="22"/>
        </w:rPr>
        <w:t>Hartati et al. (2016)</w:t>
      </w:r>
      <w:r>
        <w:rPr>
          <w:rStyle w:val="FootnoteReference"/>
          <w:rFonts w:asciiTheme="minorHAnsi" w:hAnsiTheme="minorHAnsi" w:cstheme="minorHAnsi"/>
          <w:sz w:val="22"/>
          <w:szCs w:val="22"/>
        </w:rPr>
        <w:fldChar w:fldCharType="end"/>
      </w:r>
      <w:r>
        <w:rPr>
          <w:rFonts w:asciiTheme="minorHAnsi" w:hAnsiTheme="minorHAnsi" w:cstheme="minorHAnsi"/>
          <w:sz w:val="22"/>
          <w:szCs w:val="22"/>
        </w:rPr>
        <w:t xml:space="preserve">, </w:t>
      </w:r>
      <w:r>
        <w:rPr>
          <w:rStyle w:val="FootnoteReference"/>
          <w:rFonts w:asciiTheme="minorHAnsi" w:hAnsiTheme="minorHAnsi" w:cstheme="minorHAnsi"/>
          <w:sz w:val="22"/>
          <w:szCs w:val="22"/>
        </w:rPr>
        <w:fldChar w:fldCharType="begin" w:fldLock="1"/>
      </w:r>
      <w:r>
        <w:rPr>
          <w:rFonts w:asciiTheme="minorHAnsi" w:hAnsiTheme="minorHAnsi" w:cstheme="minorHAnsi"/>
          <w:sz w:val="22"/>
          <w:szCs w:val="22"/>
        </w:rPr>
        <w:instrText>ADDIN CSL_CITATION {"citationItems":[{"id":"ITEM-1","itemData":{"DOI":"http://digilib.iain-palangkaraya.ac.id/5571/1/Buku%20Pembelajaran%20Al-qur%E2%80%99an%20Hadits_Saiful%20Lutfi%2C%20dkk.pdf","ISBN":"9786231745040","author":[{"dropping-particle":"","family":"Lutfi","given":"Saiful","non-dropping-particle":"","parse-names":false,"suffix":""},{"dropping-particle":"","family":"Sardimi","given":"Sardimi","non-dropping-particle":"","parse-names":false,"suffix":""},{"dropping-particle":"","family":"Norhidayah","given":"Siti","non-dropping-particle":"","parse-names":false,"suffix":""}],"edition":"Pertama","editor":[{"dropping-particle":"","family":"Surawan","given":"Surawan","non-dropping-particle":"","parse-names":false,"suffix":""}],"id":"ITEM-1","issued":{"date-parts":[["2024"]]},"number-of-pages":"182","publisher":"K-Media","publisher-place":"Banguntaoan, Bantul, Yogyakarta","title":"Al Qur an Hadits","type":"book"},"uris":["http://www.mendeley.com/documents/?uuid=d0e53083-7904-4a79-9b84-aedf1885d2b2"]}],"mendeley":{"formattedCitation":"(Lutfi et al., 2024)","manualFormatting":"Lutfi et al. (2024)","plainTextFormattedCitation":"(Lutfi et al., 2024)","previouslyFormattedCitation":"(Lutfi et al., 2024)"},"properties":{"noteIndex":0},"schema":"https://github.com/citation-style-language/schema/raw/master/csl-citation.json"}</w:instrText>
      </w:r>
      <w:r>
        <w:rPr>
          <w:rStyle w:val="FootnoteReference"/>
          <w:rFonts w:asciiTheme="minorHAnsi" w:hAnsiTheme="minorHAnsi" w:cstheme="minorHAnsi"/>
          <w:sz w:val="22"/>
          <w:szCs w:val="22"/>
        </w:rPr>
        <w:fldChar w:fldCharType="separate"/>
      </w:r>
      <w:r>
        <w:rPr>
          <w:rFonts w:asciiTheme="minorHAnsi" w:hAnsiTheme="minorHAnsi" w:cstheme="minorHAnsi"/>
          <w:noProof/>
          <w:sz w:val="22"/>
          <w:szCs w:val="22"/>
        </w:rPr>
        <w:t>Lutfi et al. (2024)</w:t>
      </w:r>
      <w:r>
        <w:rPr>
          <w:rStyle w:val="FootnoteReference"/>
          <w:rFonts w:asciiTheme="minorHAnsi" w:hAnsiTheme="minorHAnsi" w:cstheme="minorHAnsi"/>
          <w:sz w:val="22"/>
          <w:szCs w:val="22"/>
        </w:rPr>
        <w:fldChar w:fldCharType="end"/>
      </w:r>
      <w:r>
        <w:rPr>
          <w:rFonts w:asciiTheme="minorHAnsi" w:hAnsiTheme="minorHAnsi" w:cstheme="minorHAnsi"/>
          <w:sz w:val="22"/>
          <w:szCs w:val="22"/>
        </w:rPr>
        <w:t xml:space="preserve">, and </w:t>
      </w:r>
      <w:r>
        <w:rPr>
          <w:rStyle w:val="FootnoteReference"/>
          <w:rFonts w:asciiTheme="minorHAnsi" w:hAnsiTheme="minorHAnsi" w:cstheme="minorHAnsi"/>
          <w:sz w:val="22"/>
          <w:szCs w:val="22"/>
        </w:rPr>
        <w:fldChar w:fldCharType="begin" w:fldLock="1"/>
      </w:r>
      <w:r>
        <w:rPr>
          <w:rFonts w:asciiTheme="minorHAnsi" w:hAnsiTheme="minorHAnsi" w:cstheme="minorHAnsi"/>
          <w:sz w:val="22"/>
          <w:szCs w:val="22"/>
        </w:rPr>
        <w:instrText>ADDIN CSL_CITATION {"citationItems":[{"id":"ITEM-1","itemData":{"DOI":"10.33650/afkarina.v9i1.9357","ISSN":"2088-0219","abstract":"This research focuses on the role of Al-Qur’an literacy in deepening students’ understanding of Islamic Religious Education and developing their moral and ethical character. This research explores how Al-Qur’an literacy functions as a reading skill and a tool for developing critical, reflective thinking and a holistic understanding of Islamic teachings. This research uses qualitative methods, including interviews, observation, and documentation techniques, to explore Al-Qur’an literacy experiences, perceptions, and practices at Middle School. The research results show that Al-Qur’an literacy significantly impacts understanding Islamic Religious Education material and developing students’ character. However, this research also identified challenges in implementation, such as a need for more time allocation in the curriculum and variations in reading skill levels among students. The implications of this research emphasize the need for adaptive learning strategies and additional support to increase the effectiveness of Al-Qur’an literacy in religious education.","author":[{"dropping-particle":"","family":"Nurkholifah","given":"Siti","non-dropping-particle":"","parse-names":false,"suffix":""}],"container-title":"AFKARINA: Jurnal Pendidikan Agama Islam","id":"ITEM-1","issue":"1","issued":{"date-parts":[["2024"]]},"page":"47-60","title":"The Role of Al-Quran Literacy in Deepening Understanding of Islamic Religious Education","type":"article-journal","volume":"9"},"uris":["http://www.mendeley.com/documents/?uuid=5e055838-d884-4ff1-b6cf-ab6a37e608e2"]}],"mendeley":{"formattedCitation":"(Nurkholifah, 2024)","manualFormatting":"Nurkholifah (2024)","plainTextFormattedCitation":"(Nurkholifah, 2024)","previouslyFormattedCitation":"(Nurkholifah, 2024)"},"properties":{"noteIndex":0},"schema":"https://github.com/citation-style-language/schema/raw/master/csl-citation.json"}</w:instrText>
      </w:r>
      <w:r>
        <w:rPr>
          <w:rStyle w:val="FootnoteReference"/>
          <w:rFonts w:asciiTheme="minorHAnsi" w:hAnsiTheme="minorHAnsi" w:cstheme="minorHAnsi"/>
          <w:sz w:val="22"/>
          <w:szCs w:val="22"/>
        </w:rPr>
        <w:fldChar w:fldCharType="separate"/>
      </w:r>
      <w:r w:rsidRPr="002D3609">
        <w:rPr>
          <w:rFonts w:asciiTheme="minorHAnsi" w:hAnsiTheme="minorHAnsi" w:cstheme="minorHAnsi"/>
          <w:bCs/>
          <w:noProof/>
          <w:sz w:val="22"/>
          <w:szCs w:val="22"/>
        </w:rPr>
        <w:t xml:space="preserve">Nurkholifah </w:t>
      </w:r>
      <w:r>
        <w:rPr>
          <w:rFonts w:asciiTheme="minorHAnsi" w:hAnsiTheme="minorHAnsi" w:cstheme="minorHAnsi"/>
          <w:bCs/>
          <w:noProof/>
          <w:sz w:val="22"/>
          <w:szCs w:val="22"/>
        </w:rPr>
        <w:t>(</w:t>
      </w:r>
      <w:r w:rsidRPr="002D3609">
        <w:rPr>
          <w:rFonts w:asciiTheme="minorHAnsi" w:hAnsiTheme="minorHAnsi" w:cstheme="minorHAnsi"/>
          <w:bCs/>
          <w:noProof/>
          <w:sz w:val="22"/>
          <w:szCs w:val="22"/>
        </w:rPr>
        <w:t>2024)</w:t>
      </w:r>
      <w:r>
        <w:rPr>
          <w:rStyle w:val="FootnoteReference"/>
          <w:rFonts w:asciiTheme="minorHAnsi" w:hAnsiTheme="minorHAnsi" w:cstheme="minorHAnsi"/>
          <w:sz w:val="22"/>
          <w:szCs w:val="22"/>
        </w:rPr>
        <w:fldChar w:fldCharType="end"/>
      </w:r>
      <w:r>
        <w:rPr>
          <w:rFonts w:asciiTheme="minorHAnsi" w:hAnsiTheme="minorHAnsi" w:cstheme="minorHAnsi"/>
          <w:sz w:val="22"/>
          <w:szCs w:val="22"/>
        </w:rPr>
        <w:t xml:space="preserve"> </w:t>
      </w:r>
      <w:r w:rsidRPr="00F31806">
        <w:rPr>
          <w:rFonts w:asciiTheme="minorHAnsi" w:hAnsiTheme="minorHAnsi" w:cstheme="minorHAnsi"/>
          <w:sz w:val="22"/>
          <w:szCs w:val="22"/>
          <w:lang w:val="en-ID"/>
        </w:rPr>
        <w:t>have proven that this skill is one of the most important aspects of religious education.</w:t>
      </w:r>
      <w:r>
        <w:rPr>
          <w:rFonts w:asciiTheme="minorHAnsi" w:hAnsiTheme="minorHAnsi" w:cstheme="minorHAnsi"/>
          <w:sz w:val="22"/>
          <w:szCs w:val="22"/>
          <w:lang w:val="en-ID"/>
        </w:rPr>
        <w:t xml:space="preserve"> </w:t>
      </w:r>
      <w:r w:rsidRPr="00247A5C">
        <w:rPr>
          <w:rFonts w:asciiTheme="minorHAnsi" w:hAnsiTheme="minorHAnsi" w:cstheme="minorHAnsi"/>
          <w:sz w:val="22"/>
          <w:szCs w:val="22"/>
          <w:lang w:val="en-ID"/>
        </w:rPr>
        <w:t>In addition to being a source of teachings and guidelines for Muslims, the Qur'an also plays a major role in shaping the character and morals of students</w:t>
      </w:r>
      <w:r>
        <w:rPr>
          <w:rFonts w:asciiTheme="minorHAnsi" w:hAnsiTheme="minorHAnsi" w:cstheme="minorHAnsi"/>
          <w:sz w:val="22"/>
          <w:szCs w:val="22"/>
          <w:lang w:val="en-ID"/>
        </w:rPr>
        <w:t xml:space="preserve"> </w:t>
      </w:r>
      <w:r>
        <w:rPr>
          <w:rStyle w:val="FootnoteReference"/>
          <w:rFonts w:asciiTheme="minorHAnsi" w:hAnsiTheme="minorHAnsi" w:cstheme="minorHAnsi"/>
          <w:sz w:val="22"/>
          <w:szCs w:val="22"/>
        </w:rPr>
        <w:fldChar w:fldCharType="begin" w:fldLock="1"/>
      </w:r>
      <w:r>
        <w:rPr>
          <w:rFonts w:asciiTheme="minorHAnsi" w:hAnsiTheme="minorHAnsi" w:cstheme="minorHAnsi"/>
          <w:sz w:val="22"/>
          <w:szCs w:val="22"/>
        </w:rPr>
        <w:instrText>ADDIN CSL_CITATION {"citationItems":[{"id":"ITEM-1","itemData":{"author":[{"dropping-particle":"","family":"Kusmita","given":"Riya","non-dropping-particle":"","parse-names":false,"suffix":""},{"dropping-particle":"","family":"Hartati","given":"Zainap","non-dropping-particle":"","parse-names":false,"suffix":""},{"dropping-particle":"","family":"Alfajar","given":"Eko","non-dropping-particle":"","parse-names":false,"suffix":""}],"container-title":"GEMBIRA","id":"ITEM-1","issue":"5","issued":{"date-parts":[["2024"]]},"page":"1761-1769","title":"Pendampingan Metode Tilawati Untuk Meningkatkan Kualitas Membaca Al-Qur'an Di SMPN 8 Palangkaraya","type":"article-journal","volume":"2"},"uris":["http://www.mendeley.com/documents/?uuid=f4062d52-4ffe-4657-9a1d-14bfce7ac133"]}],"mendeley":{"formattedCitation":"(Kusmita et al., 2024)","manualFormatting":"(Kusmita et al., 2024;","plainTextFormattedCitation":"(Kusmita et al., 2024)","previouslyFormattedCitation":"(Kusmita et al., 2024)"},"properties":{"noteIndex":0},"schema":"https://github.com/citation-style-language/schema/raw/master/csl-citation.json"}</w:instrText>
      </w:r>
      <w:r>
        <w:rPr>
          <w:rStyle w:val="FootnoteReference"/>
          <w:rFonts w:asciiTheme="minorHAnsi" w:hAnsiTheme="minorHAnsi" w:cstheme="minorHAnsi"/>
          <w:sz w:val="22"/>
          <w:szCs w:val="22"/>
        </w:rPr>
        <w:fldChar w:fldCharType="separate"/>
      </w:r>
      <w:r>
        <w:rPr>
          <w:rFonts w:asciiTheme="minorHAnsi" w:hAnsiTheme="minorHAnsi" w:cstheme="minorHAnsi"/>
          <w:noProof/>
          <w:sz w:val="22"/>
          <w:szCs w:val="22"/>
        </w:rPr>
        <w:t>(Kusmita et al., 2024;</w:t>
      </w:r>
      <w:r>
        <w:rPr>
          <w:rStyle w:val="FootnoteReference"/>
          <w:rFonts w:asciiTheme="minorHAnsi" w:hAnsiTheme="minorHAnsi" w:cstheme="minorHAnsi"/>
          <w:sz w:val="22"/>
          <w:szCs w:val="22"/>
        </w:rPr>
        <w:fldChar w:fldCharType="end"/>
      </w:r>
      <w:r>
        <w:rPr>
          <w:rStyle w:val="FootnoteReference"/>
          <w:rFonts w:asciiTheme="minorHAnsi" w:hAnsiTheme="minorHAnsi" w:cstheme="minorHAnsi"/>
          <w:sz w:val="22"/>
          <w:szCs w:val="22"/>
        </w:rPr>
        <w:t xml:space="preserve"> </w:t>
      </w:r>
      <w:r>
        <w:rPr>
          <w:rFonts w:asciiTheme="minorHAnsi" w:hAnsiTheme="minorHAnsi" w:cstheme="minorHAnsi"/>
          <w:sz w:val="22"/>
          <w:szCs w:val="22"/>
        </w:rPr>
        <w:fldChar w:fldCharType="begin" w:fldLock="1"/>
      </w:r>
      <w:r>
        <w:rPr>
          <w:rFonts w:asciiTheme="minorHAnsi" w:hAnsiTheme="minorHAnsi" w:cstheme="minorHAnsi"/>
          <w:sz w:val="22"/>
          <w:szCs w:val="22"/>
        </w:rPr>
        <w:instrText>ADDIN CSL_CITATION {"citationItems":[{"id":"ITEM-1","itemData":{"DOI":"https://pub.ruangrosadi.com/jurnal-ilmiah/index.php/jedar/article/view/22","author":[{"dropping-particle":"","family":"Mansur","given":"Mansur","non-dropping-particle":"","parse-names":false,"suffix":""}],"container-title":"Journal of Education: Development and Review (JEDAR)","id":"ITEM-1","issue":"2","issued":{"date-parts":[["2024"]]},"page":"84-88","title":"The Impact of Quranic Education on Student Development at Amaliah Ciawi Bogor High School","type":"article-journal","volume":"1"},"uris":["http://www.mendeley.com/documents/?uuid=edebaf11-834a-4ee1-9119-8aecbb027a5d"]}],"mendeley":{"formattedCitation":"(Mansur, 2024)","manualFormatting":"Mansur (2024)","plainTextFormattedCitation":"(Mansur, 2024)","previouslyFormattedCitation":"(Mansur, 2024)"},"properties":{"noteIndex":0},"schema":"https://github.com/citation-style-language/schema/raw/master/csl-citation.json"}</w:instrText>
      </w:r>
      <w:r>
        <w:rPr>
          <w:rFonts w:asciiTheme="minorHAnsi" w:hAnsiTheme="minorHAnsi" w:cstheme="minorHAnsi"/>
          <w:sz w:val="22"/>
          <w:szCs w:val="22"/>
        </w:rPr>
        <w:fldChar w:fldCharType="separate"/>
      </w:r>
      <w:r w:rsidRPr="008C5795">
        <w:rPr>
          <w:rFonts w:asciiTheme="minorHAnsi" w:hAnsiTheme="minorHAnsi" w:cstheme="minorHAnsi"/>
          <w:noProof/>
          <w:sz w:val="22"/>
          <w:szCs w:val="22"/>
        </w:rPr>
        <w:t xml:space="preserve">Mansur </w:t>
      </w:r>
      <w:r>
        <w:rPr>
          <w:rFonts w:asciiTheme="minorHAnsi" w:hAnsiTheme="minorHAnsi" w:cstheme="minorHAnsi"/>
          <w:noProof/>
          <w:sz w:val="22"/>
          <w:szCs w:val="22"/>
        </w:rPr>
        <w:t>(</w:t>
      </w:r>
      <w:r w:rsidRPr="008C5795">
        <w:rPr>
          <w:rFonts w:asciiTheme="minorHAnsi" w:hAnsiTheme="minorHAnsi" w:cstheme="minorHAnsi"/>
          <w:noProof/>
          <w:sz w:val="22"/>
          <w:szCs w:val="22"/>
        </w:rPr>
        <w:t>2024)</w:t>
      </w:r>
      <w:r>
        <w:rPr>
          <w:rFonts w:asciiTheme="minorHAnsi" w:hAnsiTheme="minorHAnsi" w:cstheme="minorHAnsi"/>
          <w:sz w:val="22"/>
          <w:szCs w:val="22"/>
        </w:rPr>
        <w:fldChar w:fldCharType="end"/>
      </w:r>
      <w:r>
        <w:rPr>
          <w:rFonts w:asciiTheme="minorHAnsi" w:hAnsiTheme="minorHAnsi" w:cstheme="minorHAnsi"/>
          <w:sz w:val="22"/>
          <w:szCs w:val="22"/>
        </w:rPr>
        <w:t>,</w:t>
      </w:r>
      <w:r w:rsidRPr="00BB7446">
        <w:rPr>
          <w:rFonts w:asciiTheme="minorHAnsi" w:hAnsiTheme="minorHAnsi" w:cstheme="minorHAnsi"/>
          <w:sz w:val="22"/>
          <w:szCs w:val="22"/>
        </w:rPr>
        <w:t xml:space="preserve"> </w:t>
      </w:r>
      <w:r>
        <w:rPr>
          <w:rStyle w:val="FootnoteReference"/>
          <w:rFonts w:asciiTheme="minorHAnsi" w:hAnsiTheme="minorHAnsi" w:cstheme="minorHAnsi"/>
          <w:sz w:val="22"/>
          <w:szCs w:val="22"/>
        </w:rPr>
        <w:fldChar w:fldCharType="begin" w:fldLock="1"/>
      </w:r>
      <w:r>
        <w:rPr>
          <w:rFonts w:asciiTheme="minorHAnsi" w:hAnsiTheme="minorHAnsi" w:cstheme="minorHAnsi"/>
          <w:sz w:val="22"/>
          <w:szCs w:val="22"/>
        </w:rPr>
        <w:instrText>ADDIN CSL_CITATION {"citationItems":[{"id":"ITEM-1","itemData":{"DOI":"https://doi.org/10.59837/jpmba.v2i8.1527","author":[{"dropping-particle":"","family":"Astuti","given":"Mayang Sari","non-dropping-particle":"","parse-names":false,"suffix":""},{"dropping-particle":"","family":"Abdullah","given":"","non-dropping-particle":"","parse-names":false,"suffix":""}],"container-title":"Pengabdian Masyarakat Bangsa","id":"ITEM-1","issue":"8","issued":{"date-parts":[["2024"]]},"page":"3614-3621","title":"Pendampingan Penerapan Metode Tilawati Pada Siswa Tadarus MAN Kota Palangka Raya","type":"article-journal","volume":"2"},"uris":["http://www.mendeley.com/documents/?uuid=1a6b61a3-455a-4b7e-8d54-35439d28feb4"]}],"mendeley":{"formattedCitation":"(Astuti &amp; Abdullah, 2024)","manualFormatting":"Astuti &amp; Abdullah, 2024:","plainTextFormattedCitation":"(Astuti &amp; Abdullah, 2024)","previouslyFormattedCitation":"(Astuti &amp; Abdullah, 2024)"},"properties":{"noteIndex":0},"schema":"https://github.com/citation-style-language/schema/raw/master/csl-citation.json"}</w:instrText>
      </w:r>
      <w:r>
        <w:rPr>
          <w:rStyle w:val="FootnoteReference"/>
          <w:rFonts w:asciiTheme="minorHAnsi" w:hAnsiTheme="minorHAnsi" w:cstheme="minorHAnsi"/>
          <w:sz w:val="22"/>
          <w:szCs w:val="22"/>
        </w:rPr>
        <w:fldChar w:fldCharType="separate"/>
      </w:r>
      <w:r>
        <w:rPr>
          <w:rFonts w:asciiTheme="minorHAnsi" w:hAnsiTheme="minorHAnsi" w:cstheme="minorHAnsi"/>
          <w:noProof/>
          <w:sz w:val="22"/>
          <w:szCs w:val="22"/>
        </w:rPr>
        <w:t>Astuti &amp; Abdullah, 2024:</w:t>
      </w:r>
      <w:r>
        <w:rPr>
          <w:rStyle w:val="FootnoteReference"/>
          <w:rFonts w:asciiTheme="minorHAnsi" w:hAnsiTheme="minorHAnsi" w:cstheme="minorHAnsi"/>
          <w:sz w:val="22"/>
          <w:szCs w:val="22"/>
        </w:rPr>
        <w:fldChar w:fldCharType="end"/>
      </w:r>
      <w:r w:rsidRPr="00BB7446">
        <w:rPr>
          <w:rFonts w:asciiTheme="minorHAnsi" w:hAnsiTheme="minorHAnsi" w:cstheme="minorHAnsi"/>
          <w:sz w:val="22"/>
          <w:szCs w:val="22"/>
        </w:rPr>
        <w:t xml:space="preserve"> </w:t>
      </w:r>
      <w:r>
        <w:rPr>
          <w:rStyle w:val="FootnoteReference"/>
          <w:rFonts w:asciiTheme="minorHAnsi" w:hAnsiTheme="minorHAnsi" w:cstheme="minorHAnsi"/>
          <w:sz w:val="22"/>
          <w:szCs w:val="22"/>
        </w:rPr>
        <w:fldChar w:fldCharType="begin" w:fldLock="1"/>
      </w:r>
      <w:r>
        <w:rPr>
          <w:rFonts w:asciiTheme="minorHAnsi" w:hAnsiTheme="minorHAnsi" w:cstheme="minorHAnsi"/>
          <w:sz w:val="22"/>
          <w:szCs w:val="22"/>
        </w:rPr>
        <w:instrText>ADDIN CSL_CITATION {"citationItems":[{"id":"ITEM-1","itemData":{"DOI":"http://digilib.iain-palangkaraya.ac.id/5571/1/Buku%20Pembelajaran%20Al-qur%E2%80%99an%20Hadits_Saiful%20Lutfi%2C%20dkk.pdf","ISBN":"9786231745040","author":[{"dropping-particle":"","family":"Lutfi","given":"Saiful","non-dropping-particle":"","parse-names":false,"suffix":""},{"dropping-particle":"","family":"Sardimi","given":"Sardimi","non-dropping-particle":"","parse-names":false,"suffix":""},{"dropping-particle":"","family":"Norhidayah","given":"Siti","non-dropping-particle":"","parse-names":false,"suffix":""}],"edition":"Pertama","editor":[{"dropping-particle":"","family":"Surawan","given":"Surawan","non-dropping-particle":"","parse-names":false,"suffix":""}],"id":"ITEM-1","issued":{"date-parts":[["2024"]]},"number-of-pages":"182","publisher":"K-Media","publisher-place":"Banguntaoan, Bantul, Yogyakarta","title":"Al Qur an Hadits","type":"book"},"uris":["http://www.mendeley.com/documents/?uuid=d0e53083-7904-4a79-9b84-aedf1885d2b2"]}],"mendeley":{"formattedCitation":"(Lutfi et al., 2024)","manualFormatting":"Lutfi et al., 2024)","plainTextFormattedCitation":"(Lutfi et al., 2024)","previouslyFormattedCitation":"(Lutfi et al., 2024)"},"properties":{"noteIndex":0},"schema":"https://github.com/citation-style-language/schema/raw/master/csl-citation.json"}</w:instrText>
      </w:r>
      <w:r>
        <w:rPr>
          <w:rStyle w:val="FootnoteReference"/>
          <w:rFonts w:asciiTheme="minorHAnsi" w:hAnsiTheme="minorHAnsi" w:cstheme="minorHAnsi"/>
          <w:sz w:val="22"/>
          <w:szCs w:val="22"/>
        </w:rPr>
        <w:fldChar w:fldCharType="separate"/>
      </w:r>
      <w:r>
        <w:rPr>
          <w:rFonts w:asciiTheme="minorHAnsi" w:hAnsiTheme="minorHAnsi" w:cstheme="minorHAnsi"/>
          <w:noProof/>
          <w:sz w:val="22"/>
          <w:szCs w:val="22"/>
        </w:rPr>
        <w:t>Lutfi et al., 2024)</w:t>
      </w:r>
      <w:r>
        <w:rPr>
          <w:rStyle w:val="FootnoteReference"/>
          <w:rFonts w:asciiTheme="minorHAnsi" w:hAnsiTheme="minorHAnsi" w:cstheme="minorHAnsi"/>
          <w:sz w:val="22"/>
          <w:szCs w:val="22"/>
        </w:rPr>
        <w:fldChar w:fldCharType="end"/>
      </w:r>
      <w:r w:rsidRPr="00BB7446">
        <w:rPr>
          <w:rFonts w:asciiTheme="minorHAnsi" w:hAnsiTheme="minorHAnsi" w:cstheme="minorHAnsi"/>
          <w:sz w:val="22"/>
          <w:szCs w:val="22"/>
        </w:rPr>
        <w:t>.</w:t>
      </w:r>
      <w:r>
        <w:rPr>
          <w:rFonts w:asciiTheme="minorHAnsi" w:hAnsiTheme="minorHAnsi" w:cstheme="minorHAnsi"/>
          <w:sz w:val="22"/>
          <w:szCs w:val="22"/>
        </w:rPr>
        <w:t xml:space="preserve"> </w:t>
      </w:r>
      <w:r w:rsidRPr="00247A5C">
        <w:rPr>
          <w:rFonts w:asciiTheme="minorHAnsi" w:hAnsiTheme="minorHAnsi" w:cstheme="minorHAnsi"/>
          <w:sz w:val="22"/>
          <w:szCs w:val="22"/>
          <w:lang w:val="en-ID"/>
        </w:rPr>
        <w:t>Therefore, mastering the art of reading the Qur'an properly and tartil is a key requirement that must be mastered from an early age so that students are able to understand and practice Islamic teachings correctly</w:t>
      </w:r>
      <w:r>
        <w:rPr>
          <w:rFonts w:asciiTheme="minorHAnsi" w:hAnsiTheme="minorHAnsi" w:cstheme="minorHAnsi"/>
          <w:sz w:val="22"/>
          <w:szCs w:val="22"/>
          <w:lang w:val="en-ID"/>
        </w:rPr>
        <w:t xml:space="preserve"> </w:t>
      </w:r>
      <w:r>
        <w:rPr>
          <w:rStyle w:val="FootnoteReference"/>
          <w:rFonts w:asciiTheme="minorHAnsi" w:hAnsiTheme="minorHAnsi" w:cstheme="minorHAnsi"/>
          <w:sz w:val="22"/>
          <w:szCs w:val="22"/>
        </w:rPr>
        <w:fldChar w:fldCharType="begin" w:fldLock="1"/>
      </w:r>
      <w:r>
        <w:rPr>
          <w:rFonts w:asciiTheme="minorHAnsi" w:hAnsiTheme="minorHAnsi" w:cstheme="minorHAnsi"/>
          <w:sz w:val="22"/>
          <w:szCs w:val="22"/>
        </w:rPr>
        <w:instrText>ADDIN CSL_CITATION {"citationItems":[{"id":"ITEM-1","itemData":{"author":[{"dropping-particle":"","family":"Ihsanuddin","given":"Ihsanuddin","non-dropping-particle":"","parse-names":false,"suffix":""},{"dropping-particle":"","family":"Abdullah","given":"Abdullah","non-dropping-particle":"","parse-names":false,"suffix":""},{"dropping-particle":"","family":"Jainah","given":"Jainah","non-dropping-particle":"","parse-names":false,"suffix":""}],"container-title":"Jurnal Pelayanan Masyarakat","id":"ITEM-1","issue":"4","issued":{"date-parts":[["2024"]]},"page":"99-206","title":"Pelatihan Menulis Huruf Hijaiyah melalui Media Papan Flanel untuk Meningkatkan Keterampilan Menulis Huruf Hijaiyah Siswa di SD IT Al-Ghazali Palangka Raya","type":"article-journal","volume":"1"},"uris":["http://www.mendeley.com/documents/?uuid=9179a722-0fa2-4349-b5f6-e1ddfacfa2ea"]}],"mendeley":{"formattedCitation":"(Ihsanuddin et al., 2024)","manualFormatting":"(Ihsanuddin et al., 2024;","plainTextFormattedCitation":"(Ihsanuddin et al., 2024)","previouslyFormattedCitation":"(Ihsanuddin et al., 2024)"},"properties":{"noteIndex":0},"schema":"https://github.com/citation-style-language/schema/raw/master/csl-citation.json"}</w:instrText>
      </w:r>
      <w:r>
        <w:rPr>
          <w:rStyle w:val="FootnoteReference"/>
          <w:rFonts w:asciiTheme="minorHAnsi" w:hAnsiTheme="minorHAnsi" w:cstheme="minorHAnsi"/>
          <w:sz w:val="22"/>
          <w:szCs w:val="22"/>
        </w:rPr>
        <w:fldChar w:fldCharType="separate"/>
      </w:r>
      <w:r>
        <w:rPr>
          <w:rFonts w:asciiTheme="minorHAnsi" w:hAnsiTheme="minorHAnsi" w:cstheme="minorHAnsi"/>
          <w:noProof/>
          <w:sz w:val="22"/>
          <w:szCs w:val="22"/>
        </w:rPr>
        <w:t>(Ihsanuddin et al., 2024;</w:t>
      </w:r>
      <w:r>
        <w:rPr>
          <w:rStyle w:val="FootnoteReference"/>
          <w:rFonts w:asciiTheme="minorHAnsi" w:hAnsiTheme="minorHAnsi" w:cstheme="minorHAnsi"/>
          <w:sz w:val="22"/>
          <w:szCs w:val="22"/>
        </w:rPr>
        <w:fldChar w:fldCharType="end"/>
      </w:r>
      <w:r w:rsidRPr="00BB7446">
        <w:rPr>
          <w:rFonts w:asciiTheme="minorHAnsi" w:hAnsiTheme="minorHAnsi" w:cstheme="minorHAnsi"/>
          <w:sz w:val="22"/>
          <w:szCs w:val="22"/>
        </w:rPr>
        <w:t xml:space="preserve"> </w:t>
      </w:r>
      <w:r>
        <w:rPr>
          <w:rStyle w:val="FootnoteReference"/>
          <w:rFonts w:asciiTheme="minorHAnsi" w:hAnsiTheme="minorHAnsi" w:cstheme="minorHAnsi"/>
          <w:sz w:val="22"/>
          <w:szCs w:val="22"/>
        </w:rPr>
        <w:fldChar w:fldCharType="begin" w:fldLock="1"/>
      </w:r>
      <w:r>
        <w:rPr>
          <w:rFonts w:asciiTheme="minorHAnsi" w:hAnsiTheme="minorHAnsi" w:cstheme="minorHAnsi"/>
          <w:sz w:val="22"/>
          <w:szCs w:val="22"/>
        </w:rPr>
        <w:instrText>ADDIN CSL_CITATION {"citationItems":[{"id":"ITEM-1","itemData":{"DOI":"10.37680/scaffolding.v6i3.7053","author":[{"dropping-particle":"","family":"Nasution","given":"Muhammad Roihan","non-dropping-particle":"","parse-names":false,"suffix":""}],"container-title":"Scaffolding: Jurnal Pendidikan Islam dan Multikulturalisme","id":"ITEM-1","issue":"3","issued":{"date-parts":[["2024"]]},"page":"409-421","title":"Asbāb al - Nuzūl Al-Qur ' an and its Relevance to Islamic Education","type":"article-journal","volume":"6"},"uris":["http://www.mendeley.com/documents/?uuid=3153771c-acc7-4773-920e-4e15598f71e7"]}],"mendeley":{"formattedCitation":"(Nasution, 2024)","manualFormatting":"Nasution, 2024;","plainTextFormattedCitation":"(Nasution, 2024)","previouslyFormattedCitation":"(Nasution, 2024)"},"properties":{"noteIndex":0},"schema":"https://github.com/citation-style-language/schema/raw/master/csl-citation.json"}</w:instrText>
      </w:r>
      <w:r>
        <w:rPr>
          <w:rStyle w:val="FootnoteReference"/>
          <w:rFonts w:asciiTheme="minorHAnsi" w:hAnsiTheme="minorHAnsi" w:cstheme="minorHAnsi"/>
          <w:sz w:val="22"/>
          <w:szCs w:val="22"/>
        </w:rPr>
        <w:fldChar w:fldCharType="separate"/>
      </w:r>
      <w:r>
        <w:rPr>
          <w:rFonts w:asciiTheme="minorHAnsi" w:hAnsiTheme="minorHAnsi" w:cstheme="minorHAnsi"/>
          <w:noProof/>
          <w:sz w:val="22"/>
          <w:szCs w:val="22"/>
        </w:rPr>
        <w:t>Nasution, 2024;</w:t>
      </w:r>
      <w:r>
        <w:rPr>
          <w:rStyle w:val="FootnoteReference"/>
          <w:rFonts w:asciiTheme="minorHAnsi" w:hAnsiTheme="minorHAnsi" w:cstheme="minorHAnsi"/>
          <w:sz w:val="22"/>
          <w:szCs w:val="22"/>
        </w:rPr>
        <w:fldChar w:fldCharType="end"/>
      </w:r>
      <w:r w:rsidRPr="00BB7446">
        <w:rPr>
          <w:rFonts w:asciiTheme="minorHAnsi" w:hAnsiTheme="minorHAnsi" w:cstheme="minorHAnsi"/>
          <w:sz w:val="22"/>
          <w:szCs w:val="22"/>
        </w:rPr>
        <w:t xml:space="preserve"> </w:t>
      </w:r>
      <w:r>
        <w:rPr>
          <w:rStyle w:val="FootnoteReference"/>
          <w:rFonts w:asciiTheme="minorHAnsi" w:hAnsiTheme="minorHAnsi" w:cstheme="minorHAnsi"/>
          <w:sz w:val="22"/>
          <w:szCs w:val="22"/>
        </w:rPr>
        <w:fldChar w:fldCharType="begin" w:fldLock="1"/>
      </w:r>
      <w:r>
        <w:rPr>
          <w:rFonts w:asciiTheme="minorHAnsi" w:hAnsiTheme="minorHAnsi" w:cstheme="minorHAnsi"/>
          <w:sz w:val="22"/>
          <w:szCs w:val="22"/>
        </w:rPr>
        <w:instrText>ADDIN CSL_CITATION {"citationItems":[{"id":"ITEM-1","itemData":{"DOI":"10.37680/scaffolding.v6i3.6411","author":[{"dropping-particle":"","family":"Oktafera","given":"Annisa","non-dropping-particle":"","parse-names":false,"suffix":""},{"dropping-particle":"","family":"Nasution","given":"Zulkipli","non-dropping-particle":"","parse-names":false,"suffix":""}],"container-title":"Scaffolding: Jurnal Pendidikan Islam dan Multikulturalisme","id":"ITEM-1","issue":"3","issued":{"date-parts":[["2025"]]},"page":"333-352","title":"Implementation Of The Quran Reading Program In Forming Students' Disciplined Character","type":"article-journal","volume":"6"},"uris":["http://www.mendeley.com/documents/?uuid=eb9574c2-bf26-4339-846d-23236707f6b0"]}],"mendeley":{"formattedCitation":"(Oktafera &amp; Nasution, 2025)","manualFormatting":"Oktafera &amp; Nasution, 2025;","plainTextFormattedCitation":"(Oktafera &amp; Nasution, 2025)","previouslyFormattedCitation":"(Oktafera &amp; Nasution, 2025)"},"properties":{"noteIndex":0},"schema":"https://github.com/citation-style-language/schema/raw/master/csl-citation.json"}</w:instrText>
      </w:r>
      <w:r>
        <w:rPr>
          <w:rStyle w:val="FootnoteReference"/>
          <w:rFonts w:asciiTheme="minorHAnsi" w:hAnsiTheme="minorHAnsi" w:cstheme="minorHAnsi"/>
          <w:sz w:val="22"/>
          <w:szCs w:val="22"/>
        </w:rPr>
        <w:fldChar w:fldCharType="separate"/>
      </w:r>
      <w:r>
        <w:rPr>
          <w:rFonts w:asciiTheme="minorHAnsi" w:hAnsiTheme="minorHAnsi" w:cstheme="minorHAnsi"/>
          <w:noProof/>
          <w:sz w:val="22"/>
          <w:szCs w:val="22"/>
        </w:rPr>
        <w:t>Oktafera &amp; Nasution, 2025;</w:t>
      </w:r>
      <w:r>
        <w:rPr>
          <w:rStyle w:val="FootnoteReference"/>
          <w:rFonts w:asciiTheme="minorHAnsi" w:hAnsiTheme="minorHAnsi" w:cstheme="minorHAnsi"/>
          <w:sz w:val="22"/>
          <w:szCs w:val="22"/>
        </w:rPr>
        <w:fldChar w:fldCharType="end"/>
      </w:r>
      <w:r w:rsidRPr="00BB7446">
        <w:rPr>
          <w:rFonts w:asciiTheme="minorHAnsi" w:hAnsiTheme="minorHAnsi" w:cstheme="minorHAnsi"/>
          <w:sz w:val="22"/>
          <w:szCs w:val="22"/>
        </w:rPr>
        <w:t xml:space="preserve"> </w:t>
      </w:r>
      <w:r>
        <w:rPr>
          <w:rStyle w:val="FootnoteReference"/>
          <w:rFonts w:asciiTheme="minorHAnsi" w:hAnsiTheme="minorHAnsi" w:cstheme="minorHAnsi"/>
          <w:sz w:val="22"/>
          <w:szCs w:val="22"/>
        </w:rPr>
        <w:fldChar w:fldCharType="begin" w:fldLock="1"/>
      </w:r>
      <w:r>
        <w:rPr>
          <w:rFonts w:asciiTheme="minorHAnsi" w:hAnsiTheme="minorHAnsi" w:cstheme="minorHAnsi"/>
          <w:sz w:val="22"/>
          <w:szCs w:val="22"/>
        </w:rPr>
        <w:instrText>ADDIN CSL_CITATION {"citationItems":[{"id":"ITEM-1","itemData":{"DOI":"https://doi.org/10.61132/ardhi.v2i5.777","abstract":"Penguatan spiritualitas siswa merupakan salah satu tujuan utama yang dicapai dalam pendidikan Islam melalui berbagai kegiatan keagamaan, yang juga memberikan kesempatan kepada mahasiswa/I MBKM IAIN Palangka Raya untuk menerapkan ilmu yang didapatkan dari kampus. Dalam konteks ini, penelitian ini fokus pada program pendampingan tadarus Al-Qur'an di MAN Kota Palangka Raya, yang bertujuan untuk meningkatkan partisipasi siswa dalam membaca Al-Qur'an sebelum pembelajaran. Pendampingan dilaksanakan oleh mahasiswa dari program Asistensi Mengajar Merdeka Belajar Kampus Merdeka (MBKM) dengan pendekatan Service Learning (SL), yang melibatkan mahasiswa dalam pengalaman langsung yang bermanfaat bagi siswa. Kegiatan ini dilakukan di MAN Kota Palangka Raya dengan metode tadarus berjamaah. Hasil dari pengabdian ini menunjukkan bahwa partisipasi siswa dalam kegiatan tadarus meningkat signifikan setelah pendampingan, dengan siswa yang sebelumnya sering terlambat mulai menunjukkan kedisiplinan yang lebih baik dan meningkatnya kesadaran akan pentingnya tadarus sebagai persiapan spiritual sebelum belajar. Program ini berhasil menciptakan suasana kelas yang lebih religius dan kondusif.","author":[{"dropping-particle":"","family":"Wahdarohmah","given":"Nabila Khairunnisa","non-dropping-particle":"","parse-names":false,"suffix":""},{"dropping-particle":"","family":"Abdullah","given":"","non-dropping-particle":"","parse-names":false,"suffix":""}],"container-title":"ARDHI : Jurnal Pengabdian dalam Negri","id":"ITEM-1","issue":"5","issued":{"date-parts":[["2024"]]},"page":"133-139","title":"Pendampingan Membaca Al-Qur'an Sebelum Belajar Melalui Kegiatan Pengabdian Mahasiswa IAIN Palangka Raya","type":"article-journal","volume":"2"},"uris":["http://www.mendeley.com/documents/?uuid=89b7f209-9821-46ff-959e-272c58cbe529"]}],"mendeley":{"formattedCitation":"(Wahdarohmah &amp; Abdullah, 2024)","manualFormatting":"Wahdarohmah &amp; Abdullah, 2024)","plainTextFormattedCitation":"(Wahdarohmah &amp; Abdullah, 2024)","previouslyFormattedCitation":"(Wahdarohmah &amp; Abdullah, 2024)"},"properties":{"noteIndex":0},"schema":"https://github.com/citation-style-language/schema/raw/master/csl-citation.json"}</w:instrText>
      </w:r>
      <w:r>
        <w:rPr>
          <w:rStyle w:val="FootnoteReference"/>
          <w:rFonts w:asciiTheme="minorHAnsi" w:hAnsiTheme="minorHAnsi" w:cstheme="minorHAnsi"/>
          <w:sz w:val="22"/>
          <w:szCs w:val="22"/>
        </w:rPr>
        <w:fldChar w:fldCharType="separate"/>
      </w:r>
      <w:r>
        <w:rPr>
          <w:rFonts w:asciiTheme="minorHAnsi" w:hAnsiTheme="minorHAnsi" w:cstheme="minorHAnsi"/>
          <w:noProof/>
          <w:sz w:val="22"/>
          <w:szCs w:val="22"/>
        </w:rPr>
        <w:t>Wahdarohmah &amp; Abdullah, 2024)</w:t>
      </w:r>
      <w:r>
        <w:rPr>
          <w:rStyle w:val="FootnoteReference"/>
          <w:rFonts w:asciiTheme="minorHAnsi" w:hAnsiTheme="minorHAnsi" w:cstheme="minorHAnsi"/>
          <w:sz w:val="22"/>
          <w:szCs w:val="22"/>
        </w:rPr>
        <w:fldChar w:fldCharType="end"/>
      </w:r>
      <w:r w:rsidRPr="00BB7446">
        <w:rPr>
          <w:rFonts w:asciiTheme="minorHAnsi" w:hAnsiTheme="minorHAnsi" w:cstheme="minorHAnsi"/>
          <w:sz w:val="22"/>
          <w:szCs w:val="22"/>
        </w:rPr>
        <w:t xml:space="preserve">. </w:t>
      </w:r>
      <w:r w:rsidRPr="003C7A32">
        <w:rPr>
          <w:rFonts w:asciiTheme="minorHAnsi" w:hAnsiTheme="minorHAnsi" w:cstheme="minorHAnsi"/>
          <w:sz w:val="22"/>
          <w:szCs w:val="22"/>
          <w:lang w:val="en-ID"/>
        </w:rPr>
        <w:t xml:space="preserve">This ability is not limited to technical aspects such as reading letters and tajwid, but also includes understanding the </w:t>
      </w:r>
      <w:r w:rsidRPr="003C7A32">
        <w:rPr>
          <w:rFonts w:asciiTheme="minorHAnsi" w:hAnsiTheme="minorHAnsi" w:cstheme="minorHAnsi"/>
          <w:sz w:val="22"/>
          <w:szCs w:val="22"/>
          <w:lang w:val="en-ID"/>
        </w:rPr>
        <w:lastRenderedPageBreak/>
        <w:t>meaning and appreciating the values contained therein</w:t>
      </w:r>
      <w:r>
        <w:rPr>
          <w:rFonts w:asciiTheme="minorHAnsi" w:hAnsiTheme="minorHAnsi" w:cstheme="minorHAnsi"/>
          <w:sz w:val="22"/>
          <w:szCs w:val="22"/>
          <w:lang w:val="en-ID"/>
        </w:rPr>
        <w:t xml:space="preserve"> </w:t>
      </w:r>
      <w:r>
        <w:rPr>
          <w:rFonts w:asciiTheme="minorHAnsi" w:hAnsiTheme="minorHAnsi" w:cstheme="minorHAnsi"/>
          <w:sz w:val="22"/>
          <w:szCs w:val="22"/>
          <w:lang w:val="en-ID"/>
        </w:rPr>
        <w:fldChar w:fldCharType="begin" w:fldLock="1"/>
      </w:r>
      <w:r>
        <w:rPr>
          <w:rFonts w:asciiTheme="minorHAnsi" w:hAnsiTheme="minorHAnsi" w:cstheme="minorHAnsi"/>
          <w:sz w:val="22"/>
          <w:szCs w:val="22"/>
          <w:lang w:val="en-ID"/>
        </w:rPr>
        <w:instrText>ADDIN CSL_CITATION {"citationItems":[{"id":"ITEM-1","itemData":{"DOI":"https://doi.org/10.53802/fitrah.v15i2.921","author":[{"dropping-particle":"","family":"Saputra","given":"Reza Aprian","non-dropping-particle":"","parse-names":false,"suffix":""},{"dropping-particle":"","family":"Subki","given":"Subki","non-dropping-particle":"","parse-names":false,"suffix":""}],"container-title":"Fitrah: Journal of Islamic Education","id":"ITEM-1","issue":"2","issued":{"date-parts":[["2024"]]},"page":"128-142","title":"INTEGRATION OF QURANIC VALUES IN LEARNING STRATEGIES : Review of Interpretation and Implementation","type":"article-journal","volume":"5"},"uris":["http://www.mendeley.com/documents/?uuid=a3dabf8e-ac01-4c3d-939d-2af40b85bf0c"]}],"mendeley":{"formattedCitation":"(Saputra &amp; Subki, 2024)","manualFormatting":"(Saputra &amp; Subki, 2024;","plainTextFormattedCitation":"(Saputra &amp; Subki, 2024)","previouslyFormattedCitation":"(Saputra &amp; Subki, 2024)"},"properties":{"noteIndex":0},"schema":"https://github.com/citation-style-language/schema/raw/master/csl-citation.json"}</w:instrText>
      </w:r>
      <w:r>
        <w:rPr>
          <w:rFonts w:asciiTheme="minorHAnsi" w:hAnsiTheme="minorHAnsi" w:cstheme="minorHAnsi"/>
          <w:sz w:val="22"/>
          <w:szCs w:val="22"/>
          <w:lang w:val="en-ID"/>
        </w:rPr>
        <w:fldChar w:fldCharType="separate"/>
      </w:r>
      <w:r w:rsidRPr="002D5ABA">
        <w:rPr>
          <w:rFonts w:asciiTheme="minorHAnsi" w:hAnsiTheme="minorHAnsi" w:cstheme="minorHAnsi"/>
          <w:noProof/>
          <w:sz w:val="22"/>
          <w:szCs w:val="22"/>
          <w:lang w:val="en-ID"/>
        </w:rPr>
        <w:t>(Saputra &amp; Subki, 2024</w:t>
      </w:r>
      <w:r>
        <w:rPr>
          <w:rFonts w:asciiTheme="minorHAnsi" w:hAnsiTheme="minorHAnsi" w:cstheme="minorHAnsi"/>
          <w:noProof/>
          <w:sz w:val="22"/>
          <w:szCs w:val="22"/>
          <w:lang w:val="en-ID"/>
        </w:rPr>
        <w:t>;</w:t>
      </w:r>
      <w:r>
        <w:rPr>
          <w:rFonts w:asciiTheme="minorHAnsi" w:hAnsiTheme="minorHAnsi" w:cstheme="minorHAnsi"/>
          <w:sz w:val="22"/>
          <w:szCs w:val="22"/>
          <w:lang w:val="en-ID"/>
        </w:rPr>
        <w:fldChar w:fldCharType="end"/>
      </w:r>
      <w:r>
        <w:rPr>
          <w:rFonts w:asciiTheme="minorHAnsi" w:hAnsiTheme="minorHAnsi" w:cstheme="minorHAnsi"/>
          <w:sz w:val="22"/>
          <w:szCs w:val="22"/>
          <w:lang w:val="en-ID"/>
        </w:rPr>
        <w:t xml:space="preserve"> </w:t>
      </w:r>
      <w:r>
        <w:rPr>
          <w:rFonts w:asciiTheme="minorHAnsi" w:hAnsiTheme="minorHAnsi" w:cstheme="minorHAnsi"/>
          <w:sz w:val="22"/>
          <w:szCs w:val="22"/>
          <w:lang w:val="en-ID"/>
        </w:rPr>
        <w:fldChar w:fldCharType="begin" w:fldLock="1"/>
      </w:r>
      <w:r>
        <w:rPr>
          <w:rFonts w:asciiTheme="minorHAnsi" w:hAnsiTheme="minorHAnsi" w:cstheme="minorHAnsi"/>
          <w:sz w:val="22"/>
          <w:szCs w:val="22"/>
          <w:lang w:val="en-ID"/>
        </w:rPr>
        <w:instrText>ADDIN CSL_CITATION {"citationItems":[{"id":"ITEM-1","itemData":{"DOI":"10.55227/ijhess.v3i2.612","abstract":"The research aims to analyze: (1) the Al-Qur'an literacy program (2) the implementation of the Al-Qur'an literacy program (3) the evaluation process for the implementation of Al-Qur'an literacy (4) supporting factors and inhibiting factors for Al-Qur'an literacy 'an. This research was conducted at the Al-Abid Islamic elementary school in Medan Selayang. This research is qualitative analysis research with a descriptive approach. The data source is the wafa Qur'an literacy coordinator and the right brain wafa method book, while the secondary data source is library materials, literature and research first. Data collection instruments are documentation and interviews. Qualitative data analysis techniques include descriptions of material, construction and language aspects, while quantitative analysis of validity, reliability, level of difficulty, distinguishability and distractors. Research findings show: (1) Al-Qur'an literacy program at Al Islamic Private Elementary School -Abid refers to government regulations, in this case Minister of Education and Culture Regulation No. 23 of 2015 as a form of implementing literacy to support the educational process and teaching and learning activities. (2) Implementation of the Al-Qur'an literacy program, using the wafa method, using hijaz tones, using special Wafa books, using a level system, evaluation (3) Evaluation process of the results of implementing Al-Qur'an literacy, carried out every 2 weeks includes daily, weekly and monthly assessments to determine the extent of students' Al-Qur'an literacy results (4) Supporting and inhibiting factors for the Al-Qur'an literacy program, Supporting factors for Al-Qur'an literacy, Continuous method , Good cooperation between teachers and parents of students, Factors inhibiting Al-Qur'an literacy, From teacher factors, lack of time in teaching Al-Qur'an literacy, Students who do not repeat their lessons at home, Short implementation time.","author":[{"dropping-particle":"","family":"Nurhalizah","given":"Siti","non-dropping-particle":"","parse-names":false,"suffix":""},{"dropping-particle":"","family":"Siahaan","given":"Amiruddin","non-dropping-particle":"","parse-names":false,"suffix":""},{"dropping-particle":"","family":"Fadhila Daulai","given":"Afrahul","non-dropping-particle":"","parse-names":false,"suffix":""}],"container-title":"International Journal Of Humanities Education and Social Sciences (IJHESS)","id":"ITEM-1","issue":"2","issued":{"date-parts":[["2023"]]},"page":"975-988","title":"Implementation of the Al-Qur'an Literacy Program to Improve the Ability to Read the Al-Qur'an at the Al-Abid Islamic Elementary School in Medan","type":"article-journal","volume":"3"},"uris":["http://www.mendeley.com/documents/?uuid=f7295b71-eed1-407f-a44c-4e61b8c058a7"]}],"mendeley":{"formattedCitation":"(Nurhalizah et al., 2023)","manualFormatting":"Nurhalizah et al., 2023;","plainTextFormattedCitation":"(Nurhalizah et al., 2023)","previouslyFormattedCitation":"(Nurhalizah et al., 2023)"},"properties":{"noteIndex":0},"schema":"https://github.com/citation-style-language/schema/raw/master/csl-citation.json"}</w:instrText>
      </w:r>
      <w:r>
        <w:rPr>
          <w:rFonts w:asciiTheme="minorHAnsi" w:hAnsiTheme="minorHAnsi" w:cstheme="minorHAnsi"/>
          <w:sz w:val="22"/>
          <w:szCs w:val="22"/>
          <w:lang w:val="en-ID"/>
        </w:rPr>
        <w:fldChar w:fldCharType="separate"/>
      </w:r>
      <w:r w:rsidRPr="00787F27">
        <w:rPr>
          <w:rFonts w:asciiTheme="minorHAnsi" w:hAnsiTheme="minorHAnsi" w:cstheme="minorHAnsi"/>
          <w:noProof/>
          <w:sz w:val="22"/>
          <w:szCs w:val="22"/>
          <w:lang w:val="en-ID"/>
        </w:rPr>
        <w:t>Nurhalizah et al., 2023</w:t>
      </w:r>
      <w:r>
        <w:rPr>
          <w:rFonts w:asciiTheme="minorHAnsi" w:hAnsiTheme="minorHAnsi" w:cstheme="minorHAnsi"/>
          <w:noProof/>
          <w:sz w:val="22"/>
          <w:szCs w:val="22"/>
          <w:lang w:val="en-ID"/>
        </w:rPr>
        <w:t>;</w:t>
      </w:r>
      <w:r>
        <w:rPr>
          <w:rFonts w:asciiTheme="minorHAnsi" w:hAnsiTheme="minorHAnsi" w:cstheme="minorHAnsi"/>
          <w:sz w:val="22"/>
          <w:szCs w:val="22"/>
          <w:lang w:val="en-ID"/>
        </w:rPr>
        <w:fldChar w:fldCharType="end"/>
      </w:r>
      <w:r>
        <w:rPr>
          <w:rFonts w:asciiTheme="minorHAnsi" w:hAnsiTheme="minorHAnsi" w:cstheme="minorHAnsi"/>
          <w:sz w:val="22"/>
          <w:szCs w:val="22"/>
          <w:lang w:val="en-ID"/>
        </w:rPr>
        <w:t xml:space="preserve"> </w:t>
      </w:r>
      <w:r>
        <w:rPr>
          <w:rFonts w:asciiTheme="minorHAnsi" w:hAnsiTheme="minorHAnsi" w:cstheme="minorHAnsi"/>
          <w:sz w:val="22"/>
          <w:szCs w:val="22"/>
          <w:lang w:val="en-ID"/>
        </w:rPr>
        <w:fldChar w:fldCharType="begin" w:fldLock="1"/>
      </w:r>
      <w:r>
        <w:rPr>
          <w:rFonts w:asciiTheme="minorHAnsi" w:hAnsiTheme="minorHAnsi" w:cstheme="minorHAnsi"/>
          <w:sz w:val="22"/>
          <w:szCs w:val="22"/>
          <w:lang w:val="en-ID"/>
        </w:rPr>
        <w:instrText>ADDIN CSL_CITATION {"citationItems":[{"id":"ITEM-1","itemData":{"author":[{"dropping-particle":"","family":"Hanafi","given":"Muharami Aisyah","non-dropping-particle":"","parse-names":false,"suffix":""},{"dropping-particle":"","family":"Somad","given":"Momod Abdul","non-dropping-particle":"","parse-names":false,"suffix":""},{"dropping-particle":"","family":"Romli","given":"Usup","non-dropping-particle":"","parse-names":false,"suffix":""},{"dropping-particle":"","family":"Almasi","given":"Mustapha","non-dropping-particle":"","parse-names":false,"suffix":""}],"container-title":"Journal of Islamic Education Research","id":"ITEM-1","issue":"3","issued":{"date-parts":[["2024"]]},"page":"239-252","title":"Strategy to Improve al-Quran Reading and Writing Skills in Public Schools","type":"article-journal","volume":"5"},"uris":["http://www.mendeley.com/documents/?uuid=4d6576c3-63bd-4ba9-8511-adae932f7327"]}],"mendeley":{"formattedCitation":"(M. A. Hanafi et al., 2024)","manualFormatting":"Hanafi et al., 2024;","plainTextFormattedCitation":"(M. A. Hanafi et al., 2024)","previouslyFormattedCitation":"(M. A. Hanafi et al., 2024)"},"properties":{"noteIndex":0},"schema":"https://github.com/citation-style-language/schema/raw/master/csl-citation.json"}</w:instrText>
      </w:r>
      <w:r>
        <w:rPr>
          <w:rFonts w:asciiTheme="minorHAnsi" w:hAnsiTheme="minorHAnsi" w:cstheme="minorHAnsi"/>
          <w:sz w:val="22"/>
          <w:szCs w:val="22"/>
          <w:lang w:val="en-ID"/>
        </w:rPr>
        <w:fldChar w:fldCharType="separate"/>
      </w:r>
      <w:r w:rsidRPr="00787F27">
        <w:rPr>
          <w:rFonts w:asciiTheme="minorHAnsi" w:hAnsiTheme="minorHAnsi" w:cstheme="minorHAnsi"/>
          <w:noProof/>
          <w:sz w:val="22"/>
          <w:szCs w:val="22"/>
          <w:lang w:val="en-ID"/>
        </w:rPr>
        <w:t>Hanafi et al., 2024</w:t>
      </w:r>
      <w:r>
        <w:rPr>
          <w:rFonts w:asciiTheme="minorHAnsi" w:hAnsiTheme="minorHAnsi" w:cstheme="minorHAnsi"/>
          <w:noProof/>
          <w:sz w:val="22"/>
          <w:szCs w:val="22"/>
          <w:lang w:val="en-ID"/>
        </w:rPr>
        <w:t>;</w:t>
      </w:r>
      <w:r>
        <w:rPr>
          <w:rFonts w:asciiTheme="minorHAnsi" w:hAnsiTheme="minorHAnsi" w:cstheme="minorHAnsi"/>
          <w:sz w:val="22"/>
          <w:szCs w:val="22"/>
          <w:lang w:val="en-ID"/>
        </w:rPr>
        <w:fldChar w:fldCharType="end"/>
      </w:r>
      <w:r>
        <w:rPr>
          <w:rFonts w:asciiTheme="minorHAnsi" w:hAnsiTheme="minorHAnsi" w:cstheme="minorHAnsi"/>
          <w:sz w:val="22"/>
          <w:szCs w:val="22"/>
          <w:lang w:val="en-ID"/>
        </w:rPr>
        <w:t xml:space="preserve"> </w:t>
      </w:r>
      <w:r>
        <w:rPr>
          <w:rFonts w:asciiTheme="minorHAnsi" w:hAnsiTheme="minorHAnsi" w:cstheme="minorHAnsi"/>
          <w:sz w:val="22"/>
          <w:szCs w:val="22"/>
          <w:lang w:val="en-ID"/>
        </w:rPr>
        <w:fldChar w:fldCharType="begin" w:fldLock="1"/>
      </w:r>
      <w:r>
        <w:rPr>
          <w:rFonts w:asciiTheme="minorHAnsi" w:hAnsiTheme="minorHAnsi" w:cstheme="minorHAnsi"/>
          <w:sz w:val="22"/>
          <w:szCs w:val="22"/>
          <w:lang w:val="en-ID"/>
        </w:rPr>
        <w:instrText>ADDIN CSL_CITATION {"citationItems":[{"id":"ITEM-1","itemData":{"DOI":"10.46870/jiat.v4i1.178.3","ISBN":"2013206534","author":[{"dropping-particle":"","family":"Saleh","given":"Fauzi","non-dropping-particle":"","parse-names":false,"suffix":""}],"container-title":"El-Sunan","id":"ITEM-1","issue":"1","issued":{"date-parts":[["2025"]]},"page":"1-23","title":"The Role of Hadith in Enchancing Quranic Literacy","type":"article-journal","volume":"3"},"uris":["http://www.mendeley.com/documents/?uuid=6098bb49-544b-4603-8bcd-575186bd2739"]}],"mendeley":{"formattedCitation":"(Saleh, 2025)","manualFormatting":"Saleh, 2025;","plainTextFormattedCitation":"(Saleh, 2025)","previouslyFormattedCitation":"(Saleh, 2025)"},"properties":{"noteIndex":0},"schema":"https://github.com/citation-style-language/schema/raw/master/csl-citation.json"}</w:instrText>
      </w:r>
      <w:r>
        <w:rPr>
          <w:rFonts w:asciiTheme="minorHAnsi" w:hAnsiTheme="minorHAnsi" w:cstheme="minorHAnsi"/>
          <w:sz w:val="22"/>
          <w:szCs w:val="22"/>
          <w:lang w:val="en-ID"/>
        </w:rPr>
        <w:fldChar w:fldCharType="separate"/>
      </w:r>
      <w:r w:rsidRPr="00787F27">
        <w:rPr>
          <w:rFonts w:asciiTheme="minorHAnsi" w:hAnsiTheme="minorHAnsi" w:cstheme="minorHAnsi"/>
          <w:noProof/>
          <w:sz w:val="22"/>
          <w:szCs w:val="22"/>
          <w:lang w:val="en-ID"/>
        </w:rPr>
        <w:t>Saleh, 2025</w:t>
      </w:r>
      <w:r>
        <w:rPr>
          <w:rFonts w:asciiTheme="minorHAnsi" w:hAnsiTheme="minorHAnsi" w:cstheme="minorHAnsi"/>
          <w:noProof/>
          <w:sz w:val="22"/>
          <w:szCs w:val="22"/>
          <w:lang w:val="en-ID"/>
        </w:rPr>
        <w:t>;</w:t>
      </w:r>
      <w:r>
        <w:rPr>
          <w:rFonts w:asciiTheme="minorHAnsi" w:hAnsiTheme="minorHAnsi" w:cstheme="minorHAnsi"/>
          <w:sz w:val="22"/>
          <w:szCs w:val="22"/>
          <w:lang w:val="en-ID"/>
        </w:rPr>
        <w:fldChar w:fldCharType="end"/>
      </w:r>
      <w:r w:rsidRPr="00BB7446">
        <w:rPr>
          <w:rFonts w:asciiTheme="minorHAnsi" w:hAnsiTheme="minorHAnsi" w:cstheme="minorHAnsi"/>
          <w:sz w:val="22"/>
          <w:szCs w:val="22"/>
        </w:rPr>
        <w:t xml:space="preserve"> </w:t>
      </w:r>
      <w:r>
        <w:rPr>
          <w:rStyle w:val="FootnoteReference"/>
          <w:rFonts w:asciiTheme="minorHAnsi" w:hAnsiTheme="minorHAnsi" w:cstheme="minorHAnsi"/>
          <w:sz w:val="22"/>
          <w:szCs w:val="22"/>
        </w:rPr>
        <w:fldChar w:fldCharType="begin" w:fldLock="1"/>
      </w:r>
      <w:r>
        <w:rPr>
          <w:rFonts w:asciiTheme="minorHAnsi" w:hAnsiTheme="minorHAnsi" w:cstheme="minorHAnsi"/>
          <w:sz w:val="22"/>
          <w:szCs w:val="22"/>
        </w:rPr>
        <w:instrText>ADDIN CSL_CITATION {"citationItems":[{"id":"ITEM-1","itemData":{"ISBN":"9786025075100","author":[{"dropping-particle":"","family":"Hartati","given":"Zainap","non-dropping-particle":"","parse-names":false,"suffix":""}],"edition":"1","id":"ITEM-1","issued":{"date-parts":[["2017"]]},"number-of-pages":"613-619","publisher":"FTIK IAIN Salatiga","title":"Tasyrifin Karim, Merintis Pengembangan Baca Al-Qur‟An Untuk Orang Dewasa","type":"book"},"uris":["http://www.mendeley.com/documents/?uuid=b6a3ed06-f944-48f7-9dca-af844fe2cf4c"]}],"mendeley":{"formattedCitation":"(Hartati, 2017)","manualFormatting":"Hartati, 2017)","plainTextFormattedCitation":"(Hartati, 2017)","previouslyFormattedCitation":"(Hartati, 2017)"},"properties":{"noteIndex":0},"schema":"https://github.com/citation-style-language/schema/raw/master/csl-citation.json"}</w:instrText>
      </w:r>
      <w:r>
        <w:rPr>
          <w:rStyle w:val="FootnoteReference"/>
          <w:rFonts w:asciiTheme="minorHAnsi" w:hAnsiTheme="minorHAnsi" w:cstheme="minorHAnsi"/>
          <w:sz w:val="22"/>
          <w:szCs w:val="22"/>
        </w:rPr>
        <w:fldChar w:fldCharType="separate"/>
      </w:r>
      <w:r>
        <w:rPr>
          <w:rFonts w:asciiTheme="minorHAnsi" w:hAnsiTheme="minorHAnsi" w:cstheme="minorHAnsi"/>
          <w:noProof/>
          <w:sz w:val="22"/>
          <w:szCs w:val="22"/>
        </w:rPr>
        <w:t>Hartati, 2017)</w:t>
      </w:r>
      <w:r>
        <w:rPr>
          <w:rStyle w:val="FootnoteReference"/>
          <w:rFonts w:asciiTheme="minorHAnsi" w:hAnsiTheme="minorHAnsi" w:cstheme="minorHAnsi"/>
          <w:sz w:val="22"/>
          <w:szCs w:val="22"/>
        </w:rPr>
        <w:fldChar w:fldCharType="end"/>
      </w:r>
      <w:r w:rsidRPr="00BB7446">
        <w:rPr>
          <w:rFonts w:asciiTheme="minorHAnsi" w:hAnsiTheme="minorHAnsi" w:cstheme="minorHAnsi"/>
          <w:sz w:val="22"/>
          <w:szCs w:val="22"/>
        </w:rPr>
        <w:t>.</w:t>
      </w:r>
    </w:p>
    <w:p w14:paraId="1FF51520" w14:textId="3D26E55C" w:rsidR="003B560C" w:rsidRPr="00AB2405" w:rsidRDefault="003B560C" w:rsidP="00C27B0D">
      <w:pPr>
        <w:ind w:firstLine="426"/>
        <w:jc w:val="both"/>
        <w:rPr>
          <w:rFonts w:asciiTheme="minorHAnsi" w:hAnsiTheme="minorHAnsi" w:cstheme="minorHAnsi"/>
          <w:sz w:val="22"/>
          <w:szCs w:val="22"/>
          <w:lang w:val="en-ID"/>
        </w:rPr>
      </w:pPr>
      <w:r w:rsidRPr="003C7A32">
        <w:rPr>
          <w:rFonts w:asciiTheme="minorHAnsi" w:hAnsiTheme="minorHAnsi" w:cstheme="minorHAnsi"/>
          <w:sz w:val="22"/>
          <w:szCs w:val="22"/>
          <w:lang w:val="en-ID"/>
        </w:rPr>
        <w:t>Learning to read the Qur'an has become an integral part of the Islamic education curriculum at various school levels in Indonesia. This is reinforced by the implementation of Qur'an reading lessons at the junior high school level, as reflec</w:t>
      </w:r>
      <w:r>
        <w:rPr>
          <w:rFonts w:asciiTheme="minorHAnsi" w:hAnsiTheme="minorHAnsi" w:cstheme="minorHAnsi"/>
          <w:sz w:val="22"/>
          <w:szCs w:val="22"/>
          <w:lang w:val="en-ID"/>
        </w:rPr>
        <w:t>ted in study</w:t>
      </w:r>
      <w:r w:rsidRPr="00BB7446">
        <w:rPr>
          <w:rFonts w:asciiTheme="minorHAnsi" w:hAnsiTheme="minorHAnsi" w:cstheme="minorHAnsi"/>
          <w:sz w:val="22"/>
          <w:szCs w:val="22"/>
        </w:rPr>
        <w:t xml:space="preserve"> </w:t>
      </w:r>
      <w:r>
        <w:rPr>
          <w:rStyle w:val="FootnoteReference"/>
          <w:rFonts w:asciiTheme="minorHAnsi" w:hAnsiTheme="minorHAnsi" w:cstheme="minorHAnsi"/>
          <w:sz w:val="22"/>
          <w:szCs w:val="22"/>
        </w:rPr>
        <w:fldChar w:fldCharType="begin" w:fldLock="1"/>
      </w:r>
      <w:r>
        <w:rPr>
          <w:rFonts w:asciiTheme="minorHAnsi" w:hAnsiTheme="minorHAnsi" w:cstheme="minorHAnsi"/>
          <w:sz w:val="22"/>
          <w:szCs w:val="22"/>
        </w:rPr>
        <w:instrText>ADDIN CSL_CITATION {"citationItems":[{"id":"ITEM-1","itemData":{"DOI":"https://doi.org/10.31004/jptam.v6i2.3895","ISSN":"9378-9385","abstract":"… pada kemampuan memahami Makharijul Huruf dan Ilmu Tajwid yang masih kurang 2. … mengenai Ilmu Tajwid khususnya hukum Nun Sukun (Nun Mati) / Tanwin dan hukum bacaan Mad…","author":[{"dropping-particle":"","family":"Kartika","given":"Mila","non-dropping-particle":"","parse-names":false,"suffix":""},{"dropping-particle":"","family":"Alfurqan","given":"","non-dropping-particle":"","parse-names":false,"suffix":""}],"container-title":"Jurnal Pendidikan Tambusai","id":"ITEM-1","issue":"no. 2","issued":{"date-parts":[["2022"]]},"page":"9378-9385","title":"Problematika Peserta Didik dalam Membaca Al-Qur'an di SMP Negeri 1 Lembah Melintang","type":"article-journal","volume":"vol. 6"},"uris":["http://www.mendeley.com/documents/?uuid=f79902ef-94f3-40f1-af4c-5fc092b07294"]}],"mendeley":{"formattedCitation":"(Kartika &amp; Alfurqan, 2022)","manualFormatting":"Kartika &amp; Alfurqan  (2022)","plainTextFormattedCitation":"(Kartika &amp; Alfurqan, 2022)","previouslyFormattedCitation":"(Kartika &amp; Alfurqan, 2022)"},"properties":{"noteIndex":0},"schema":"https://github.com/citation-style-language/schema/raw/master/csl-citation.json"}</w:instrText>
      </w:r>
      <w:r>
        <w:rPr>
          <w:rStyle w:val="FootnoteReference"/>
          <w:rFonts w:asciiTheme="minorHAnsi" w:hAnsiTheme="minorHAnsi" w:cstheme="minorHAnsi"/>
          <w:sz w:val="22"/>
          <w:szCs w:val="22"/>
        </w:rPr>
        <w:fldChar w:fldCharType="separate"/>
      </w:r>
      <w:r>
        <w:rPr>
          <w:rFonts w:asciiTheme="minorHAnsi" w:hAnsiTheme="minorHAnsi" w:cstheme="minorHAnsi"/>
          <w:noProof/>
          <w:sz w:val="22"/>
          <w:szCs w:val="22"/>
        </w:rPr>
        <w:t>Kartika &amp; Alfurqan  (2022)</w:t>
      </w:r>
      <w:r>
        <w:rPr>
          <w:rStyle w:val="FootnoteReference"/>
          <w:rFonts w:asciiTheme="minorHAnsi" w:hAnsiTheme="minorHAnsi" w:cstheme="minorHAnsi"/>
          <w:sz w:val="22"/>
          <w:szCs w:val="22"/>
        </w:rPr>
        <w:fldChar w:fldCharType="end"/>
      </w:r>
      <w:r>
        <w:rPr>
          <w:rFonts w:asciiTheme="minorHAnsi" w:hAnsiTheme="minorHAnsi" w:cstheme="minorHAnsi"/>
          <w:sz w:val="22"/>
          <w:szCs w:val="22"/>
        </w:rPr>
        <w:t xml:space="preserve"> and</w:t>
      </w:r>
      <w:r w:rsidRPr="00BB7446">
        <w:rPr>
          <w:rFonts w:asciiTheme="minorHAnsi" w:hAnsiTheme="minorHAnsi" w:cstheme="minorHAnsi"/>
          <w:sz w:val="22"/>
          <w:szCs w:val="22"/>
        </w:rPr>
        <w:t xml:space="preserve"> </w:t>
      </w:r>
      <w:r>
        <w:rPr>
          <w:rStyle w:val="FootnoteReference"/>
          <w:rFonts w:asciiTheme="minorHAnsi" w:hAnsiTheme="minorHAnsi" w:cstheme="minorHAnsi"/>
          <w:sz w:val="22"/>
          <w:szCs w:val="22"/>
        </w:rPr>
        <w:fldChar w:fldCharType="begin" w:fldLock="1"/>
      </w:r>
      <w:r>
        <w:rPr>
          <w:rFonts w:asciiTheme="minorHAnsi" w:hAnsiTheme="minorHAnsi" w:cstheme="minorHAnsi"/>
          <w:sz w:val="22"/>
          <w:szCs w:val="22"/>
        </w:rPr>
        <w:instrText>ADDIN CSL_CITATION {"citationItems":[{"id":"ITEM-1","itemData":{"abstract":"The emphasis on literacy instruction in schools is an attempt to create a literate generation capable of building the nation in thefuture. Asliteracy ability of elementary schools in Padangsidimpuan is need tobe observed. The focus for this research is to analysis the difficulties elementary school students face when it comes to improving their literacy skills at school especially in elementary school by first discuss the reality of students' literacy skills in Padangsidimpuan,then it will discuss students' difficulties in improving literacy skills as a result of insufficient literacy practices and environments; and finally, it will discuss the necessary efforts. The method is descriptive qualitative in order to describe the elementary schooldifficulties in literacywith 10 elementary schools as respndend. The finding of this research shwoedthose stakeholdersare involved in efforts to improve elementary school students' literacy. In this case, policymakers (government), schools, teachers, and parents all have distinct roles and responsibilities based on their capacities. With the promotion of sound literacy practices and an adequate literacy environment, it is possible for our beloved Indonesia to birth a literate generation","author":[{"dropping-particle":"","family":"Rizqi","given":"Muhammad","non-dropping-particle":"","parse-names":false,"suffix":""},{"dropping-particle":"","family":"Faujianor","given":"Ahmad","non-dropping-particle":"","parse-names":false,"suffix":""},{"dropping-particle":"","family":"Yuliani","given":"Hadma","non-dropping-particle":"","parse-names":false,"suffix":""}],"container-title":"Attractive: Innovative Education Journal","id":"ITEM-1","issue":"3","issued":{"date-parts":[["2024"]]},"page":"414-422","title":"Validitas Pengembangan Media Pembelajaran Bagan dan Audio pada Materi Wudhu","type":"article-journal","volume":"6"},"uris":["http://www.mendeley.com/documents/?uuid=142f6ec5-7b9b-49cd-be59-047c3f543a5e"]}],"mendeley":{"formattedCitation":"(Rizqi et al., 2024)","manualFormatting":"Rizqi et al. (2024)","plainTextFormattedCitation":"(Rizqi et al., 2024)","previouslyFormattedCitation":"(Rizqi et al., 2024)"},"properties":{"noteIndex":0},"schema":"https://github.com/citation-style-language/schema/raw/master/csl-citation.json"}</w:instrText>
      </w:r>
      <w:r>
        <w:rPr>
          <w:rStyle w:val="FootnoteReference"/>
          <w:rFonts w:asciiTheme="minorHAnsi" w:hAnsiTheme="minorHAnsi" w:cstheme="minorHAnsi"/>
          <w:sz w:val="22"/>
          <w:szCs w:val="22"/>
        </w:rPr>
        <w:fldChar w:fldCharType="separate"/>
      </w:r>
      <w:r>
        <w:rPr>
          <w:rFonts w:asciiTheme="minorHAnsi" w:hAnsiTheme="minorHAnsi" w:cstheme="minorHAnsi"/>
          <w:noProof/>
          <w:sz w:val="22"/>
          <w:szCs w:val="22"/>
        </w:rPr>
        <w:t>Rizqi et al. (2024)</w:t>
      </w:r>
      <w:r>
        <w:rPr>
          <w:rStyle w:val="FootnoteReference"/>
          <w:rFonts w:asciiTheme="minorHAnsi" w:hAnsiTheme="minorHAnsi" w:cstheme="minorHAnsi"/>
          <w:sz w:val="22"/>
          <w:szCs w:val="22"/>
        </w:rPr>
        <w:fldChar w:fldCharType="end"/>
      </w:r>
      <w:r w:rsidRPr="00BB7446">
        <w:rPr>
          <w:rFonts w:asciiTheme="minorHAnsi" w:hAnsiTheme="minorHAnsi" w:cstheme="minorHAnsi"/>
          <w:sz w:val="22"/>
          <w:szCs w:val="22"/>
        </w:rPr>
        <w:t>.</w:t>
      </w:r>
      <w:r>
        <w:rPr>
          <w:rFonts w:asciiTheme="minorHAnsi" w:hAnsiTheme="minorHAnsi" w:cstheme="minorHAnsi"/>
          <w:sz w:val="22"/>
          <w:szCs w:val="22"/>
        </w:rPr>
        <w:t xml:space="preserve"> </w:t>
      </w:r>
      <w:r w:rsidRPr="00AB2405">
        <w:rPr>
          <w:rFonts w:asciiTheme="minorHAnsi" w:hAnsiTheme="minorHAnsi" w:cstheme="minorHAnsi"/>
          <w:sz w:val="22"/>
          <w:szCs w:val="22"/>
          <w:lang w:val="en-ID"/>
        </w:rPr>
        <w:t>Junior high schools have a responsibility to equip their students with adequate Quran reading skills. However, based on the results of observation and learning evaluation, there are still indications that most junior high school students have difficulty mastering Quran reading skills optimally. This condition is a serious concern given the importance of these skills in supporting the quality of religious education and character building of students.</w:t>
      </w:r>
    </w:p>
    <w:p w14:paraId="18383515" w14:textId="7DDA5CCB" w:rsidR="003B560C" w:rsidRPr="005F5861" w:rsidRDefault="003B560C" w:rsidP="00C27B0D">
      <w:pPr>
        <w:ind w:firstLine="426"/>
        <w:jc w:val="both"/>
        <w:rPr>
          <w:rFonts w:asciiTheme="minorHAnsi" w:hAnsiTheme="minorHAnsi" w:cstheme="minorHAnsi"/>
          <w:sz w:val="22"/>
          <w:szCs w:val="22"/>
          <w:lang w:val="en-ID"/>
        </w:rPr>
      </w:pPr>
      <w:r w:rsidRPr="005F5861">
        <w:rPr>
          <w:rFonts w:asciiTheme="minorHAnsi" w:hAnsiTheme="minorHAnsi" w:cstheme="minorHAnsi"/>
          <w:sz w:val="22"/>
          <w:szCs w:val="22"/>
          <w:lang w:val="en-ID"/>
        </w:rPr>
        <w:t>The lack of ability to read the Qur'an among students can have a negative impact not only on their academic performance in religious studies but also on their motivation and interest in further studying the Qur'an. Previous studies such as those by</w:t>
      </w:r>
      <w:r>
        <w:rPr>
          <w:rFonts w:asciiTheme="minorHAnsi" w:hAnsiTheme="minorHAnsi" w:cstheme="minorHAnsi"/>
          <w:sz w:val="22"/>
          <w:szCs w:val="22"/>
          <w:lang w:val="en-ID"/>
        </w:rPr>
        <w:t xml:space="preserve"> </w:t>
      </w:r>
      <w:r>
        <w:rPr>
          <w:rStyle w:val="FootnoteReference"/>
          <w:rFonts w:asciiTheme="minorHAnsi" w:hAnsiTheme="minorHAnsi" w:cstheme="minorHAnsi"/>
          <w:sz w:val="22"/>
          <w:szCs w:val="22"/>
        </w:rPr>
        <w:fldChar w:fldCharType="begin" w:fldLock="1"/>
      </w:r>
      <w:r>
        <w:rPr>
          <w:rFonts w:asciiTheme="minorHAnsi" w:hAnsiTheme="minorHAnsi" w:cstheme="minorHAnsi"/>
          <w:sz w:val="22"/>
          <w:szCs w:val="22"/>
        </w:rPr>
        <w:instrText>ADDIN CSL_CITATION {"citationItems":[{"id":"ITEM-1","itemData":{"DOI":"10.58540/jipsi.v1i1.12","ISBN":"2008052028","abstract":"Penelitian ini membahas mengenai minat baca Al-Qur’an pada anak usia sekolah secara umum. Minat untuk membaca Al-Qur’an dikalangan anak usia sekolah (6-12 tahun) semakin berkurang karena pada usia tersebut anak masih suka bermain dan mudah terpengaruh lingkungan pergaulan. Disisi lain, kemajuan teknologi menjadikan anak usia sekolah lebih suka bermain gawai dibandingkan membaca Al-Qur’an. Maka dengan menggunakan metode penelitian kajian pustaka dari buku, jurnal, skripsi dan tesis yang membahas mengenai minat baca Al-Qur’an, artikel ini berisi pengertian minat baca Al-Qur’an, Cara Menumbuhkan dan Membangkitkan Minat Faktor yang Mempengaruhi Minat Membaca Al-Qur’an, Faktor yang Mempengaruhi Minat Membaca Al-Qur’an, Anak Usia Sekolah, Teknik Menumbuhkan Minat Baca Al-Qur’an pada Anak Usia Sekolah dan Metode Dalam Belajar Membaca Al-Qur’an. Adapun hasil penelitian yang didapatkan adalah rendahnya minat baca Al-Qur’an pada anak disebabkan oleh factor internal dari diri anak, factor lingkungan, social dan emosional. Maka perlu adanya metode dan cara yang tepat untuk membangkitkan minat baca Al-Qur’an pada anak usia dini yang sesuai dengan minat dan metode pengajaran sehingga anak termotivasi untuk mencintai Al-Qur’an sejak dini.","author":[{"dropping-particle":"","family":"Khoirurrizki","given":"Aisyah A'yun","non-dropping-particle":"","parse-names":false,"suffix":""},{"dropping-particle":"","family":"Bustam","given":"Betty Mauli Rosa","non-dropping-particle":"","parse-names":false,"suffix":""}],"container-title":"Jurnal Ilmu Pendidikan dan Sosial","id":"ITEM-1","issue":"1","issued":{"date-parts":[["2023"]]},"page":"47-59","title":"Analysis of Low Interest in Reading the Qur'an in School Age Children","type":"article-journal","volume":"1"},"uris":["http://www.mendeley.com/documents/?uuid=f97630d3-5b95-44b1-848c-24d4431b6185"]}],"mendeley":{"formattedCitation":"(Khoirurrizki &amp; Bustam, 2023)","manualFormatting":"Khoirurrizki &amp; Bustam (2023)","plainTextFormattedCitation":"(Khoirurrizki &amp; Bustam, 2023)","previouslyFormattedCitation":"(Khoirurrizki &amp; Bustam, 2023)"},"properties":{"noteIndex":0},"schema":"https://github.com/citation-style-language/schema/raw/master/csl-citation.json"}</w:instrText>
      </w:r>
      <w:r>
        <w:rPr>
          <w:rStyle w:val="FootnoteReference"/>
          <w:rFonts w:asciiTheme="minorHAnsi" w:hAnsiTheme="minorHAnsi" w:cstheme="minorHAnsi"/>
          <w:sz w:val="22"/>
          <w:szCs w:val="22"/>
        </w:rPr>
        <w:fldChar w:fldCharType="separate"/>
      </w:r>
      <w:r>
        <w:rPr>
          <w:rFonts w:asciiTheme="minorHAnsi" w:hAnsiTheme="minorHAnsi" w:cstheme="minorHAnsi"/>
          <w:noProof/>
          <w:sz w:val="22"/>
          <w:szCs w:val="22"/>
        </w:rPr>
        <w:t>Khoirurrizki &amp; Bustam (2023)</w:t>
      </w:r>
      <w:r>
        <w:rPr>
          <w:rStyle w:val="FootnoteReference"/>
          <w:rFonts w:asciiTheme="minorHAnsi" w:hAnsiTheme="minorHAnsi" w:cstheme="minorHAnsi"/>
          <w:sz w:val="22"/>
          <w:szCs w:val="22"/>
        </w:rPr>
        <w:fldChar w:fldCharType="end"/>
      </w:r>
      <w:r>
        <w:rPr>
          <w:rFonts w:asciiTheme="minorHAnsi" w:hAnsiTheme="minorHAnsi" w:cstheme="minorHAnsi"/>
          <w:sz w:val="22"/>
          <w:szCs w:val="22"/>
        </w:rPr>
        <w:t>,</w:t>
      </w:r>
      <w:r w:rsidRPr="00BB7446">
        <w:rPr>
          <w:rFonts w:asciiTheme="minorHAnsi" w:hAnsiTheme="minorHAnsi" w:cstheme="minorHAnsi"/>
          <w:sz w:val="22"/>
          <w:szCs w:val="22"/>
        </w:rPr>
        <w:t xml:space="preserve"> </w:t>
      </w:r>
      <w:r>
        <w:rPr>
          <w:rStyle w:val="FootnoteReference"/>
          <w:rFonts w:asciiTheme="minorHAnsi" w:hAnsiTheme="minorHAnsi" w:cstheme="minorHAnsi"/>
          <w:sz w:val="22"/>
          <w:szCs w:val="22"/>
        </w:rPr>
        <w:fldChar w:fldCharType="begin" w:fldLock="1"/>
      </w:r>
      <w:r>
        <w:rPr>
          <w:rFonts w:asciiTheme="minorHAnsi" w:hAnsiTheme="minorHAnsi" w:cstheme="minorHAnsi"/>
          <w:sz w:val="22"/>
          <w:szCs w:val="22"/>
        </w:rPr>
        <w:instrText>ADDIN CSL_CITATION {"citationItems":[{"id":"ITEM-1","itemData":{"DOI":"10.31949/am.v5i2.7535","abstract":"This research is a literature study using data sourced from textbooks, journals, observational data, and other sources relevant to the topic to be discussed. The literature study in this study focuses on the lack of interest in adolescents in learning the Qur'an caused by the sophistication of information technology, especially gadgets. The purpose of this research is of course to explore the causal factors and solutions to the problems that are the focus of this research. The results of research through several sources of literature reveal that the causes of the lack of interest in student learning can come from themselves, teachers and parents so that the solution in solving this problem must be faced by several parties concerned. One of the factors causing the problem is that the teacher has not been able to provide learning with a method that is suitable for students' abilities so they tend to get bored. The solution to this problem is that teachers should study more deeply about several methods that can be applied to students.","author":[{"dropping-particle":"","family":"Munawaroh","given":"Ainin","non-dropping-particle":"","parse-names":false,"suffix":""},{"dropping-particle":"","family":"Munawir","given":"Munawir","non-dropping-particle":"","parse-names":false,"suffix":""},{"dropping-particle":"","family":"Pavytha","given":"Valda Isabella","non-dropping-particle":"","parse-names":false,"suffix":""}],"container-title":"Al-Mau'izhoh","id":"ITEM-1","issue":"2","issued":{"date-parts":[["2023"]]},"page":"460-475","title":"Kurangnya Minat Remaja Dalam Belajar Al-Qur’an Akibat Pengaruh Canggihnya Teknologi Informasi","type":"article-journal","volume":"5"},"uris":["http://www.mendeley.com/documents/?uuid=8ebacc0a-fbce-4e04-a125-0f1cd0bbe1cf"]}],"mendeley":{"formattedCitation":"(Munawaroh et al., 2023)","manualFormatting":"Munawaroh et al. (2023)","plainTextFormattedCitation":"(Munawaroh et al., 2023)","previouslyFormattedCitation":"(Munawaroh et al., 2023)"},"properties":{"noteIndex":0},"schema":"https://github.com/citation-style-language/schema/raw/master/csl-citation.json"}</w:instrText>
      </w:r>
      <w:r>
        <w:rPr>
          <w:rStyle w:val="FootnoteReference"/>
          <w:rFonts w:asciiTheme="minorHAnsi" w:hAnsiTheme="minorHAnsi" w:cstheme="minorHAnsi"/>
          <w:sz w:val="22"/>
          <w:szCs w:val="22"/>
        </w:rPr>
        <w:fldChar w:fldCharType="separate"/>
      </w:r>
      <w:r>
        <w:rPr>
          <w:rFonts w:asciiTheme="minorHAnsi" w:hAnsiTheme="minorHAnsi" w:cstheme="minorHAnsi"/>
          <w:noProof/>
          <w:sz w:val="22"/>
          <w:szCs w:val="22"/>
        </w:rPr>
        <w:t>Munawaroh et al. (2023)</w:t>
      </w:r>
      <w:r>
        <w:rPr>
          <w:rStyle w:val="FootnoteReference"/>
          <w:rFonts w:asciiTheme="minorHAnsi" w:hAnsiTheme="minorHAnsi" w:cstheme="minorHAnsi"/>
          <w:sz w:val="22"/>
          <w:szCs w:val="22"/>
        </w:rPr>
        <w:fldChar w:fldCharType="end"/>
      </w:r>
      <w:r>
        <w:rPr>
          <w:rFonts w:asciiTheme="minorHAnsi" w:hAnsiTheme="minorHAnsi" w:cstheme="minorHAnsi"/>
          <w:sz w:val="22"/>
          <w:szCs w:val="22"/>
        </w:rPr>
        <w:t>, and</w:t>
      </w:r>
      <w:r w:rsidRPr="00BB7446">
        <w:rPr>
          <w:rFonts w:asciiTheme="minorHAnsi" w:hAnsiTheme="minorHAnsi" w:cstheme="minorHAnsi"/>
          <w:sz w:val="22"/>
          <w:szCs w:val="22"/>
        </w:rPr>
        <w:t xml:space="preserve"> </w:t>
      </w:r>
      <w:r w:rsidR="00DB5D71">
        <w:rPr>
          <w:rFonts w:asciiTheme="minorHAnsi" w:hAnsiTheme="minorHAnsi" w:cstheme="minorHAnsi"/>
          <w:sz w:val="22"/>
          <w:szCs w:val="22"/>
        </w:rPr>
        <w:fldChar w:fldCharType="begin" w:fldLock="1"/>
      </w:r>
      <w:r w:rsidR="00DB5D71">
        <w:rPr>
          <w:rFonts w:asciiTheme="minorHAnsi" w:hAnsiTheme="minorHAnsi" w:cstheme="minorHAnsi"/>
          <w:sz w:val="22"/>
          <w:szCs w:val="22"/>
        </w:rPr>
        <w:instrText>ADDIN CSL_CITATION {"citationItems":[{"id":"ITEM-1","itemData":{"DOI":"10.58485/jie.v2i1.188","abstract":"Understanding student motivation for learning Islamic education in Indonesian senior high schools is crucial for enhancing educational outcomes and student engagement. The aim of this research is to look at students' intrinsic motivation, students' extrinsic motivation, supporting and inhibiting factors in learning Islamic religious education. This research uses descriptive qualitative methods. The data collection techniques used are observation, interviews, and documentation with data analysis through data reduction, data presentation, and drawing conclusions and verification. The results of this research were obtained: i) the intrinsic motivation of students at Senior High School in learning Islamic religious education was obtained through the appreciation given by the teacher and the students' sense of responsibility. This award is motivation for students to develop and progress further in their learning process, ii) extrinsic motivation for Senior High School students is obtained from the motivation provided by teachers, principals, and all the environment in the school. Adequate infrastructure is one of the motivations for student learning in achieving goals, iii) supporting factors in increasing student learning motivation in learning Islamic religious education, namely students are given Islamic religious learning guidance, in the form of congregational prayers, tahfiz, reading the Quran and delivering learning material. The inhibiting factor in increasing students' learning motivation in learning Islamic religious education is the lack of Islamic religious education lesson hours at school. Apart from the lack of teaching hours for Islamic religious education teachers, students who study religion are less aware of the importance of studying Islam. The results of this research can be used as initial data for future researchers in studying this problem in different contexts and issues.","author":[{"dropping-particle":"","family":"Japeri","given":"Japeri","non-dropping-particle":"","parse-names":false,"suffix":""},{"dropping-particle":"","family":"Rahmi","given":"Elvi","non-dropping-particle":"","parse-names":false,"suffix":""},{"dropping-particle":"","family":"Izmi","given":"Nelly","non-dropping-particle":"","parse-names":false,"suffix":""},{"dropping-particle":"","family":"Irayanti","given":"Irma","non-dropping-particle":"","parse-names":false,"suffix":""},{"dropping-particle":"","family":"Eki Saputri","given":"Teni","non-dropping-particle":"","parse-names":false,"suffix":""}],"container-title":"Ahlussunnah: Journal of Islamic Education","id":"ITEM-1","issue":"1","issued":{"date-parts":[["2023"]]},"page":"26-34","title":"Identifying Student Motivation for Learning Islamic Education in Indonesian Senior High Schools","type":"article-journal","volume":"2"},"uris":["http://www.mendeley.com/documents/?uuid=6bfdb0e6-5e35-4208-8801-575a831a24a4"]}],"mendeley":{"formattedCitation":"(Japeri et al., 2023)","manualFormatting":"Japeri et al. (2023)","plainTextFormattedCitation":"(Japeri et al., 2023)"},"properties":{"noteIndex":0},"schema":"https://github.com/citation-style-language/schema/raw/master/csl-citation.json"}</w:instrText>
      </w:r>
      <w:r w:rsidR="00DB5D71">
        <w:rPr>
          <w:rFonts w:asciiTheme="minorHAnsi" w:hAnsiTheme="minorHAnsi" w:cstheme="minorHAnsi"/>
          <w:sz w:val="22"/>
          <w:szCs w:val="22"/>
        </w:rPr>
        <w:fldChar w:fldCharType="separate"/>
      </w:r>
      <w:r w:rsidR="00DB5D71" w:rsidRPr="00DB5D71">
        <w:rPr>
          <w:rFonts w:asciiTheme="minorHAnsi" w:hAnsiTheme="minorHAnsi" w:cstheme="minorHAnsi"/>
          <w:noProof/>
          <w:sz w:val="22"/>
          <w:szCs w:val="22"/>
        </w:rPr>
        <w:t xml:space="preserve">Japeri et al. </w:t>
      </w:r>
      <w:r w:rsidR="00DB5D71">
        <w:rPr>
          <w:rFonts w:asciiTheme="minorHAnsi" w:hAnsiTheme="minorHAnsi" w:cstheme="minorHAnsi"/>
          <w:noProof/>
          <w:sz w:val="22"/>
          <w:szCs w:val="22"/>
        </w:rPr>
        <w:t>(</w:t>
      </w:r>
      <w:r w:rsidR="00DB5D71" w:rsidRPr="00DB5D71">
        <w:rPr>
          <w:rFonts w:asciiTheme="minorHAnsi" w:hAnsiTheme="minorHAnsi" w:cstheme="minorHAnsi"/>
          <w:noProof/>
          <w:sz w:val="22"/>
          <w:szCs w:val="22"/>
        </w:rPr>
        <w:t>2023)</w:t>
      </w:r>
      <w:r w:rsidR="00DB5D71">
        <w:rPr>
          <w:rFonts w:asciiTheme="minorHAnsi" w:hAnsiTheme="minorHAnsi" w:cstheme="minorHAnsi"/>
          <w:sz w:val="22"/>
          <w:szCs w:val="22"/>
        </w:rPr>
        <w:fldChar w:fldCharType="end"/>
      </w:r>
      <w:r w:rsidR="00DB5D71">
        <w:rPr>
          <w:rFonts w:asciiTheme="minorHAnsi" w:hAnsiTheme="minorHAnsi" w:cstheme="minorHAnsi"/>
          <w:sz w:val="22"/>
          <w:szCs w:val="22"/>
        </w:rPr>
        <w:t xml:space="preserve"> </w:t>
      </w:r>
      <w:r w:rsidRPr="005F5861">
        <w:rPr>
          <w:rFonts w:asciiTheme="minorHAnsi" w:hAnsiTheme="minorHAnsi" w:cstheme="minorHAnsi"/>
          <w:sz w:val="22"/>
          <w:szCs w:val="22"/>
          <w:lang w:val="en-ID"/>
        </w:rPr>
        <w:t>indicate that this issue can indeed reduce students' enthusiasm for learning in religious education.</w:t>
      </w:r>
      <w:r>
        <w:rPr>
          <w:rFonts w:asciiTheme="minorHAnsi" w:hAnsiTheme="minorHAnsi" w:cstheme="minorHAnsi"/>
          <w:sz w:val="22"/>
          <w:szCs w:val="22"/>
          <w:lang w:val="en-ID"/>
        </w:rPr>
        <w:t xml:space="preserve"> </w:t>
      </w:r>
      <w:r w:rsidRPr="005F5861">
        <w:rPr>
          <w:rFonts w:asciiTheme="minorHAnsi" w:hAnsiTheme="minorHAnsi" w:cstheme="minorHAnsi"/>
          <w:sz w:val="22"/>
          <w:szCs w:val="22"/>
          <w:lang w:val="en-ID"/>
        </w:rPr>
        <w:t>Various factors are thought to be the main causes, such as teaching methods that lack variety and interest, limited learning facilities, teachers' inadequate competence in teaching the Qur'an, and minimal support from families and schools</w:t>
      </w:r>
      <w:r>
        <w:rPr>
          <w:rFonts w:asciiTheme="minorHAnsi" w:hAnsiTheme="minorHAnsi" w:cstheme="minorHAnsi"/>
          <w:sz w:val="22"/>
          <w:szCs w:val="22"/>
          <w:lang w:val="en-ID"/>
        </w:rPr>
        <w:t xml:space="preserve"> </w:t>
      </w:r>
      <w:r>
        <w:rPr>
          <w:rStyle w:val="FootnoteReference"/>
          <w:rFonts w:asciiTheme="minorHAnsi" w:hAnsiTheme="minorHAnsi" w:cstheme="minorHAnsi"/>
          <w:sz w:val="22"/>
          <w:szCs w:val="22"/>
        </w:rPr>
        <w:fldChar w:fldCharType="begin" w:fldLock="1"/>
      </w:r>
      <w:r>
        <w:rPr>
          <w:rFonts w:asciiTheme="minorHAnsi" w:hAnsiTheme="minorHAnsi" w:cstheme="minorHAnsi"/>
          <w:sz w:val="22"/>
          <w:szCs w:val="22"/>
        </w:rPr>
        <w:instrText>ADDIN CSL_CITATION {"citationItems":[{"id":"ITEM-1","itemData":{"DOI":"https://ejurnals.com/ojs/index.php/jdpn/article/view/1397/1637","ISBN":"9788578110796","ISSN":"1098-6596","PMID":"25246403","abstract":"Predicting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approach.","author":[{"dropping-particle":"","family":"Febrian","given":"Lena Mutiah","non-dropping-particle":"","parse-names":false,"suffix":""},{"dropping-particle":"","family":"Florentina","given":"Tantri","non-dropping-particle":"","parse-names":false,"suffix":""},{"dropping-particle":"","family":"Qolbi","given":"Alfarizi Duta","non-dropping-particle":"","parse-names":false,"suffix":""},{"dropping-particle":"","family":"Efendi","given":"Sutrian","non-dropping-particle":"","parse-names":false,"suffix":""}],"container-title":"Fakultas KEguruan dan Imu Pendidikan Universitas Kristen Indonesia","id":"ITEM-1","issue":"1","issued":{"date-parts":[["2025"]]},"page":"648-661","title":"Peningkatan Kemampuan Membaca Al-Qur'an Melalui Pengajaran Mengaji pada Siswa SMPN 4 Kota Bengkulu","type":"article-journal","volume":"6"},"uris":["http://www.mendeley.com/documents/?uuid=de053836-e6cc-4949-bb82-81f78ce3fc50"]}],"mendeley":{"formattedCitation":"(Febrian et al., 2025)","manualFormatting":"(Febrian et al., 2025;","plainTextFormattedCitation":"(Febrian et al., 2025)","previouslyFormattedCitation":"(Febrian et al., 2025)"},"properties":{"noteIndex":0},"schema":"https://github.com/citation-style-language/schema/raw/master/csl-citation.json"}</w:instrText>
      </w:r>
      <w:r>
        <w:rPr>
          <w:rStyle w:val="FootnoteReference"/>
          <w:rFonts w:asciiTheme="minorHAnsi" w:hAnsiTheme="minorHAnsi" w:cstheme="minorHAnsi"/>
          <w:sz w:val="22"/>
          <w:szCs w:val="22"/>
        </w:rPr>
        <w:fldChar w:fldCharType="separate"/>
      </w:r>
      <w:r>
        <w:rPr>
          <w:rFonts w:asciiTheme="minorHAnsi" w:hAnsiTheme="minorHAnsi" w:cstheme="minorHAnsi"/>
          <w:noProof/>
          <w:sz w:val="22"/>
          <w:szCs w:val="22"/>
        </w:rPr>
        <w:t>(Febrian et al., 2025;</w:t>
      </w:r>
      <w:r>
        <w:rPr>
          <w:rStyle w:val="FootnoteReference"/>
          <w:rFonts w:asciiTheme="minorHAnsi" w:hAnsiTheme="minorHAnsi" w:cstheme="minorHAnsi"/>
          <w:sz w:val="22"/>
          <w:szCs w:val="22"/>
        </w:rPr>
        <w:fldChar w:fldCharType="end"/>
      </w:r>
      <w:r w:rsidRPr="00BB7446">
        <w:rPr>
          <w:rFonts w:asciiTheme="minorHAnsi" w:hAnsiTheme="minorHAnsi" w:cstheme="minorHAnsi"/>
          <w:sz w:val="22"/>
          <w:szCs w:val="22"/>
        </w:rPr>
        <w:t xml:space="preserve"> </w:t>
      </w:r>
      <w:r>
        <w:rPr>
          <w:rStyle w:val="FootnoteReference"/>
          <w:rFonts w:asciiTheme="minorHAnsi" w:hAnsiTheme="minorHAnsi" w:cstheme="minorHAnsi"/>
          <w:sz w:val="22"/>
          <w:szCs w:val="22"/>
        </w:rPr>
        <w:fldChar w:fldCharType="begin" w:fldLock="1"/>
      </w:r>
      <w:r>
        <w:rPr>
          <w:rFonts w:asciiTheme="minorHAnsi" w:hAnsiTheme="minorHAnsi" w:cstheme="minorHAnsi"/>
          <w:sz w:val="22"/>
          <w:szCs w:val="22"/>
        </w:rPr>
        <w:instrText>ADDIN CSL_CITATION {"citationItems":[{"id":"ITEM-1","itemData":{"DOI":"10.51169/ideguru.v9i2.882","ISSN":"2527-5712","abstract":"Penelitian ini dilaksanakan di SMP Islam Terpadu Permata Cendekia, Gunung Malela, Kabupaten Simalungun. Tujuan dari penelitian ini adalah untuk mengungkap pengaruh dari program literasi al-Qur'an, dukungan keluarga, dan pengaruh keduanya secara bersama-sama terhadap kemampuan membaca al-Qur'an siswa. Metode penelitian yang digunakan adalah kuantitatif dengan menggunakan pendekatan ex post facto, di mana seluruh siswa kelas VIII yang berjumlah 39 siswa diambil sebagai sampel penelitian. Instrumen yang digunakan meliputi angket dan tes, sedangkan teknik analisis data yang diterapkan menggunakan metode korelasi dan regresi. Dari hasil penelitian, ditemukan beberapa temuan penting. Pertama, terdapat pengaruh dari program literasi al-Qur'an terhadap kemampuan membaca al-Qur'an, ditunjukkan dengan koefisien korelasi sebesar 0,459 dan koefisien determinasi sebesar 0,211. Persamaan regresi yang ditemukan adalah ŷ = 47,674 + 1,321X1. Kedua, terlihat adanya pengaruh dari dukungan keluarga terhadap kemampuan membaca al-Qur'an, dengan koefisien sebesar 0,618 dan koefisien determinasi sebesar 0,382. Persamaan regresi untuk pengaruh ini adalah ŷ = 21,222 + 0,637X2. Ketiga, ditemukan bahwa terdapat pengaruh yang bersama-sama antara literasi al-Qur'an dan dukungan keluarga terhadap kemampuan membaca al-Qur'an, yang terlihat dari koefisien korelasi sebesar 0,635 dan koefisien determinasi sebesar 0,403. Persamaan regresi untuk pengaruh bersama ini adalah ŷ = 21,093 + 0,491X1 + 0,540X2.","author":[{"dropping-particle":"","family":"Putra","given":"Ramadan Syah","non-dropping-particle":"","parse-names":false,"suffix":""},{"dropping-particle":"","family":"Sinaga","given":"Ali Imran","non-dropping-particle":"","parse-names":false,"suffix":""},{"dropping-particle":"","family":"Nasution","given":"Sahkholid","non-dropping-particle":"","parse-names":false,"suffix":""}],"container-title":"Ideguru: Jurnal Karya Ilmiah Guru","id":"ITEM-1","issue":"2","issued":{"date-parts":[["2024"]]},"page":"672-677","title":"Pengaruh Program Literasi Al-Qur'an dan Dukungan Keluarga terhadap Kemampuan Membaca Al- Qur'an Siswa SMP IT Permata Cendekia Kabupaten Simalungun","type":"article-journal","volume":"9"},"uris":["http://www.mendeley.com/documents/?uuid=77fb8c28-373d-45db-af3f-10a6cc191aae"]}],"mendeley":{"formattedCitation":"(Putra et al., 2024)","manualFormatting":"Putra et al., 2024;","plainTextFormattedCitation":"(Putra et al., 2024)","previouslyFormattedCitation":"(Putra et al., 2024)"},"properties":{"noteIndex":0},"schema":"https://github.com/citation-style-language/schema/raw/master/csl-citation.json"}</w:instrText>
      </w:r>
      <w:r>
        <w:rPr>
          <w:rStyle w:val="FootnoteReference"/>
          <w:rFonts w:asciiTheme="minorHAnsi" w:hAnsiTheme="minorHAnsi" w:cstheme="minorHAnsi"/>
          <w:sz w:val="22"/>
          <w:szCs w:val="22"/>
        </w:rPr>
        <w:fldChar w:fldCharType="separate"/>
      </w:r>
      <w:r>
        <w:rPr>
          <w:rFonts w:asciiTheme="minorHAnsi" w:hAnsiTheme="minorHAnsi" w:cstheme="minorHAnsi"/>
          <w:noProof/>
          <w:sz w:val="22"/>
          <w:szCs w:val="22"/>
        </w:rPr>
        <w:t>Putra et al., 2024;</w:t>
      </w:r>
      <w:r>
        <w:rPr>
          <w:rStyle w:val="FootnoteReference"/>
          <w:rFonts w:asciiTheme="minorHAnsi" w:hAnsiTheme="minorHAnsi" w:cstheme="minorHAnsi"/>
          <w:sz w:val="22"/>
          <w:szCs w:val="22"/>
        </w:rPr>
        <w:fldChar w:fldCharType="end"/>
      </w:r>
      <w:r w:rsidRPr="00BB7446">
        <w:rPr>
          <w:rFonts w:asciiTheme="minorHAnsi" w:hAnsiTheme="minorHAnsi" w:cstheme="minorHAnsi"/>
          <w:sz w:val="22"/>
          <w:szCs w:val="22"/>
        </w:rPr>
        <w:t xml:space="preserve"> </w:t>
      </w:r>
      <w:r>
        <w:rPr>
          <w:rStyle w:val="FootnoteReference"/>
          <w:rFonts w:asciiTheme="minorHAnsi" w:hAnsiTheme="minorHAnsi" w:cstheme="minorHAnsi"/>
          <w:sz w:val="22"/>
          <w:szCs w:val="22"/>
        </w:rPr>
        <w:fldChar w:fldCharType="begin" w:fldLock="1"/>
      </w:r>
      <w:r>
        <w:rPr>
          <w:rFonts w:asciiTheme="minorHAnsi" w:hAnsiTheme="minorHAnsi" w:cstheme="minorHAnsi"/>
          <w:sz w:val="22"/>
          <w:szCs w:val="22"/>
        </w:rPr>
        <w:instrText>ADDIN CSL_CITATION {"citationItems":[{"id":"ITEM-1","itemData":{"author":[{"dropping-particle":"","family":"Rahma","given":"Elfi","non-dropping-particle":"","parse-names":false,"suffix":""},{"dropping-particle":"","family":"Hertati","given":"Hertati","non-dropping-particle":"","parse-names":false,"suffix":""},{"dropping-particle":"","family":"A","given":"Mashumi.","non-dropping-particle":"","parse-names":false,"suffix":""}],"container-title":"Review Pendidikan dan Pengajaran","id":"ITEM-1","issue":"1","issued":{"date-parts":[["2025"]]},"page":"3400-3405","title":"Tantangan Dan Solusi Meningkatkan Kemampuan Membaca Al-Qur'an Siswa Di SMPN 9 Tualang","type":"article-journal","volume":"8"},"uris":["http://www.mendeley.com/documents/?uuid=5f8f00c5-301e-4e38-abe6-5eaebe2402ce"]}],"mendeley":{"formattedCitation":"(Rahma et al., 2025)","manualFormatting":"Rahma et al., 2025;","plainTextFormattedCitation":"(Rahma et al., 2025)","previouslyFormattedCitation":"(Rahma et al., 2025)"},"properties":{"noteIndex":0},"schema":"https://github.com/citation-style-language/schema/raw/master/csl-citation.json"}</w:instrText>
      </w:r>
      <w:r>
        <w:rPr>
          <w:rStyle w:val="FootnoteReference"/>
          <w:rFonts w:asciiTheme="minorHAnsi" w:hAnsiTheme="minorHAnsi" w:cstheme="minorHAnsi"/>
          <w:sz w:val="22"/>
          <w:szCs w:val="22"/>
        </w:rPr>
        <w:fldChar w:fldCharType="separate"/>
      </w:r>
      <w:r>
        <w:rPr>
          <w:rFonts w:asciiTheme="minorHAnsi" w:hAnsiTheme="minorHAnsi" w:cstheme="minorHAnsi"/>
          <w:noProof/>
          <w:sz w:val="22"/>
          <w:szCs w:val="22"/>
        </w:rPr>
        <w:t>Rahma et al., 2025;</w:t>
      </w:r>
      <w:r>
        <w:rPr>
          <w:rStyle w:val="FootnoteReference"/>
          <w:rFonts w:asciiTheme="minorHAnsi" w:hAnsiTheme="minorHAnsi" w:cstheme="minorHAnsi"/>
          <w:sz w:val="22"/>
          <w:szCs w:val="22"/>
        </w:rPr>
        <w:fldChar w:fldCharType="end"/>
      </w:r>
      <w:r w:rsidRPr="00BB7446">
        <w:rPr>
          <w:rFonts w:asciiTheme="minorHAnsi" w:hAnsiTheme="minorHAnsi" w:cstheme="minorHAnsi"/>
          <w:sz w:val="22"/>
          <w:szCs w:val="22"/>
        </w:rPr>
        <w:t xml:space="preserve"> </w:t>
      </w:r>
      <w:r>
        <w:rPr>
          <w:rStyle w:val="FootnoteReference"/>
          <w:rFonts w:asciiTheme="minorHAnsi" w:hAnsiTheme="minorHAnsi" w:cstheme="minorHAnsi"/>
          <w:sz w:val="22"/>
          <w:szCs w:val="22"/>
        </w:rPr>
        <w:fldChar w:fldCharType="begin" w:fldLock="1"/>
      </w:r>
      <w:r>
        <w:rPr>
          <w:rFonts w:asciiTheme="minorHAnsi" w:hAnsiTheme="minorHAnsi" w:cstheme="minorHAnsi"/>
          <w:sz w:val="22"/>
          <w:szCs w:val="22"/>
        </w:rPr>
        <w:instrText>ADDIN CSL_CITATION {"citationItems":[{"id":"ITEM-1","itemData":{"DOI":"10.61136/pmm29y60","ISSN":"25992929","abstract":"This study aims to describe the role of parents in motivating children to learn the Qur'an in TPA Sidomulyo and the supporting and inhibiting factors. The research method uses descriptive qualitative methods with data collection techniques using observation and interviews. The subjects selected were parents who had children reading the Koran at the TPA using purposive sampling. Based on the selection of these subjects, 4 parents would be the main sources, and 3 children and 1 ustadz as informants. The results and discussion will describe the role of these parents. This research was conducted in Sidomulyo, Tumbang Tahai Village, Palangka Raya City. This study's results found parents' role in motivating their children to learn the Qur'an. Several factors, namely supporting factors, influence the role of parents in motivating learning the Qur'an: 1) the will of the child, 2) the child's motivation, and 3) the environment, as well as inhibiting factors, 1) laziness, and 2) the busyness of parents.","author":[{"dropping-particle":"","family":"Rizki","given":"Satria Nur","non-dropping-particle":"","parse-names":false,"suffix":""},{"dropping-particle":"","family":"Ajahari","given":"Ajahari","non-dropping-particle":"","parse-names":false,"suffix":""},{"dropping-particle":"","family":"Surawan","given":"Surawan","non-dropping-particle":"","parse-names":false,"suffix":""}],"container-title":"Wahana Islamika: Jurnal Studi Keislaman","id":"ITEM-1","issued":{"date-parts":[["2022"]]},"page":"164-177","title":"Peran Orang Tua Dalam Memotivasi Belajar Al-Qur’an Pada Anak Di Tpa Sidomulyokota Palangka Raya","type":"article-journal"},"uris":["http://www.mendeley.com/documents/?uuid=b04b3166-2fd8-4400-a46f-8cfc39c34bf5"]}],"mendeley":{"formattedCitation":"(Rizki et al., 2022)","manualFormatting":"Rizki et al., 2022;","plainTextFormattedCitation":"(Rizki et al., 2022)","previouslyFormattedCitation":"(Rizki et al., 2022)"},"properties":{"noteIndex":0},"schema":"https://github.com/citation-style-language/schema/raw/master/csl-citation.json"}</w:instrText>
      </w:r>
      <w:r>
        <w:rPr>
          <w:rStyle w:val="FootnoteReference"/>
          <w:rFonts w:asciiTheme="minorHAnsi" w:hAnsiTheme="minorHAnsi" w:cstheme="minorHAnsi"/>
          <w:sz w:val="22"/>
          <w:szCs w:val="22"/>
        </w:rPr>
        <w:fldChar w:fldCharType="separate"/>
      </w:r>
      <w:r>
        <w:rPr>
          <w:rFonts w:asciiTheme="minorHAnsi" w:hAnsiTheme="minorHAnsi" w:cstheme="minorHAnsi"/>
          <w:noProof/>
          <w:sz w:val="22"/>
          <w:szCs w:val="22"/>
        </w:rPr>
        <w:t>Rizki et al., 2022;</w:t>
      </w:r>
      <w:r>
        <w:rPr>
          <w:rStyle w:val="FootnoteReference"/>
          <w:rFonts w:asciiTheme="minorHAnsi" w:hAnsiTheme="minorHAnsi" w:cstheme="minorHAnsi"/>
          <w:sz w:val="22"/>
          <w:szCs w:val="22"/>
        </w:rPr>
        <w:fldChar w:fldCharType="end"/>
      </w:r>
      <w:r w:rsidRPr="00BB7446">
        <w:rPr>
          <w:rFonts w:asciiTheme="minorHAnsi" w:hAnsiTheme="minorHAnsi" w:cstheme="minorHAnsi"/>
          <w:sz w:val="22"/>
          <w:szCs w:val="22"/>
        </w:rPr>
        <w:t xml:space="preserve"> </w:t>
      </w:r>
      <w:r>
        <w:rPr>
          <w:rStyle w:val="FootnoteReference"/>
          <w:rFonts w:asciiTheme="minorHAnsi" w:hAnsiTheme="minorHAnsi" w:cstheme="minorHAnsi"/>
          <w:sz w:val="22"/>
          <w:szCs w:val="22"/>
        </w:rPr>
        <w:fldChar w:fldCharType="begin" w:fldLock="1"/>
      </w:r>
      <w:r>
        <w:rPr>
          <w:rFonts w:asciiTheme="minorHAnsi" w:hAnsiTheme="minorHAnsi" w:cstheme="minorHAnsi"/>
          <w:sz w:val="22"/>
          <w:szCs w:val="22"/>
        </w:rPr>
        <w:instrText>ADDIN CSL_CITATION {"citationItems":[{"id":"ITEM-1","itemData":{"author":[{"dropping-particle":"","family":"Sastraatmadja","given":"Achmad Harristhana Mauldfi","non-dropping-particle":"","parse-names":false,"suffix":""},{"dropping-particle":"","family":"Emalis Saputra","given":"Adzra","non-dropping-particle":"","parse-names":false,"suffix":""},{"dropping-particle":"","family":"Kulsum","given":"Siti","non-dropping-particle":"","parse-names":false,"suffix":""},{"dropping-particle":"","family":"Aini Farida","given":"Nur","non-dropping-particle":"","parse-names":false,"suffix":""},{"dropping-particle":"","family":"Makbul","given":"M","non-dropping-particle":"","parse-names":false,"suffix":""}],"container-title":"Mathematic Education JournalMathEdu","id":"ITEM-1","issue":"2","issued":{"date-parts":[["2024"]]},"page":"67-75","title":"Meningkatkan Kemampuan Membaca Al-Qur'an Siswa Kelas Vii Smpit Abdan Syakuro Dengan Metode Al Muyassar","type":"article-journal","volume":"7"},"uris":["http://www.mendeley.com/documents/?uuid=b6967991-ffae-43fd-bdee-9b8d5f9ba413"]}],"mendeley":{"formattedCitation":"(Sastraatmadja et al., 2024)","manualFormatting":"Sastraatmadja et al., 2024)","plainTextFormattedCitation":"(Sastraatmadja et al., 2024)","previouslyFormattedCitation":"(Sastraatmadja et al., 2024)"},"properties":{"noteIndex":0},"schema":"https://github.com/citation-style-language/schema/raw/master/csl-citation.json"}</w:instrText>
      </w:r>
      <w:r>
        <w:rPr>
          <w:rStyle w:val="FootnoteReference"/>
          <w:rFonts w:asciiTheme="minorHAnsi" w:hAnsiTheme="minorHAnsi" w:cstheme="minorHAnsi"/>
          <w:sz w:val="22"/>
          <w:szCs w:val="22"/>
        </w:rPr>
        <w:fldChar w:fldCharType="separate"/>
      </w:r>
      <w:r>
        <w:rPr>
          <w:rFonts w:asciiTheme="minorHAnsi" w:hAnsiTheme="minorHAnsi" w:cstheme="minorHAnsi"/>
          <w:noProof/>
          <w:sz w:val="22"/>
          <w:szCs w:val="22"/>
        </w:rPr>
        <w:t>Sastraatmadja et al., 2024)</w:t>
      </w:r>
      <w:r>
        <w:rPr>
          <w:rStyle w:val="FootnoteReference"/>
          <w:rFonts w:asciiTheme="minorHAnsi" w:hAnsiTheme="minorHAnsi" w:cstheme="minorHAnsi"/>
          <w:sz w:val="22"/>
          <w:szCs w:val="22"/>
        </w:rPr>
        <w:fldChar w:fldCharType="end"/>
      </w:r>
      <w:r w:rsidRPr="00BB7446">
        <w:rPr>
          <w:rFonts w:asciiTheme="minorHAnsi" w:hAnsiTheme="minorHAnsi" w:cstheme="minorHAnsi"/>
          <w:sz w:val="22"/>
          <w:szCs w:val="22"/>
        </w:rPr>
        <w:t xml:space="preserve">. This situation requires in-depth analysis so that appropriate and effective solutions can be found </w:t>
      </w:r>
      <w:r>
        <w:rPr>
          <w:rStyle w:val="FootnoteReference"/>
          <w:rFonts w:asciiTheme="minorHAnsi" w:hAnsiTheme="minorHAnsi" w:cstheme="minorHAnsi"/>
          <w:sz w:val="22"/>
          <w:szCs w:val="22"/>
        </w:rPr>
        <w:fldChar w:fldCharType="begin" w:fldLock="1"/>
      </w:r>
      <w:r>
        <w:rPr>
          <w:rFonts w:asciiTheme="minorHAnsi" w:hAnsiTheme="minorHAnsi" w:cstheme="minorHAnsi"/>
          <w:sz w:val="22"/>
          <w:szCs w:val="22"/>
        </w:rPr>
        <w:instrText>ADDIN CSL_CITATION {"citationItems":[{"id":"ITEM-1","itemData":{"DOI":"10.56338/iqra.v20i1.6868","author":[{"dropping-particle":"","family":"Ansyah","given":"Ardi","non-dropping-particle":"","parse-names":false,"suffix":""},{"dropping-particle":"","family":"Amin","given":"Sitti Jamilah","non-dropping-particle":"","parse-names":false,"suffix":""},{"dropping-particle":"","family":"Marhani","given":"Marhani","non-dropping-particle":"","parse-names":false,"suffix":""},{"dropping-particle":"","family":"Nurhayati","given":"Nurhayati","non-dropping-particle":"","parse-names":false,"suffix":""},{"dropping-particle":"","family":"Herdah","given":"Herdah","non-dropping-particle":"","parse-names":false,"suffix":""}],"container-title":"Iqra: Jurnal Ilmu Kependidikan dan Keislaman","id":"ITEM-1","issue":"01","issued":{"date-parts":[["2025"]]},"page":"127-133","title":"Analisis Kemampuan Baca Al Qur ’ an dan Faktor yang Mempengaruhinya di Madrasah Aliyah DDI Attaufiq Padaelo Kecamatan Tanete Rilau Kabupaten Barru","type":"article-journal","volume":"20"},"uris":["http://www.mendeley.com/documents/?uuid=76643ba4-1d96-4ece-ac8e-4930ae1bbbe0"]}],"mendeley":{"formattedCitation":"(Ansyah et al., 2025)","plainTextFormattedCitation":"(Ansyah et al., 2025)","previouslyFormattedCitation":"(Ansyah et al., 2025)"},"properties":{"noteIndex":0},"schema":"https://github.com/citation-style-language/schema/raw/master/csl-citation.json"}</w:instrText>
      </w:r>
      <w:r>
        <w:rPr>
          <w:rStyle w:val="FootnoteReference"/>
          <w:rFonts w:asciiTheme="minorHAnsi" w:hAnsiTheme="minorHAnsi" w:cstheme="minorHAnsi"/>
          <w:sz w:val="22"/>
          <w:szCs w:val="22"/>
        </w:rPr>
        <w:fldChar w:fldCharType="separate"/>
      </w:r>
      <w:r w:rsidRPr="002D3609">
        <w:rPr>
          <w:rFonts w:asciiTheme="minorHAnsi" w:hAnsiTheme="minorHAnsi" w:cstheme="minorHAnsi"/>
          <w:bCs/>
          <w:noProof/>
          <w:sz w:val="22"/>
          <w:szCs w:val="22"/>
        </w:rPr>
        <w:t>(Ansyah et al., 2025)</w:t>
      </w:r>
      <w:r>
        <w:rPr>
          <w:rStyle w:val="FootnoteReference"/>
          <w:rFonts w:asciiTheme="minorHAnsi" w:hAnsiTheme="minorHAnsi" w:cstheme="minorHAnsi"/>
          <w:sz w:val="22"/>
          <w:szCs w:val="22"/>
        </w:rPr>
        <w:fldChar w:fldCharType="end"/>
      </w:r>
      <w:r w:rsidRPr="00BB7446">
        <w:rPr>
          <w:rFonts w:asciiTheme="minorHAnsi" w:hAnsiTheme="minorHAnsi" w:cstheme="minorHAnsi"/>
          <w:sz w:val="22"/>
          <w:szCs w:val="22"/>
        </w:rPr>
        <w:t>.</w:t>
      </w:r>
    </w:p>
    <w:p w14:paraId="3F5932E8" w14:textId="103FE254" w:rsidR="003B560C" w:rsidRPr="00C515C0" w:rsidRDefault="003B560C" w:rsidP="00C27B0D">
      <w:pPr>
        <w:ind w:firstLine="426"/>
        <w:jc w:val="both"/>
        <w:rPr>
          <w:rFonts w:asciiTheme="minorHAnsi" w:hAnsiTheme="minorHAnsi" w:cstheme="minorHAnsi"/>
          <w:sz w:val="22"/>
          <w:szCs w:val="22"/>
          <w:lang w:val="en-ID"/>
        </w:rPr>
      </w:pPr>
      <w:r w:rsidRPr="00C515C0">
        <w:rPr>
          <w:rFonts w:asciiTheme="minorHAnsi" w:hAnsiTheme="minorHAnsi" w:cstheme="minorHAnsi"/>
          <w:sz w:val="22"/>
          <w:szCs w:val="22"/>
          <w:lang w:val="en-ID"/>
        </w:rPr>
        <w:t xml:space="preserve">Research on the factors influencing students' ability to read the Qur'an has been extensively conducted, both at the elementary and secondary school levels. Studies conducted </w:t>
      </w:r>
      <w:r w:rsidRPr="00BB7446">
        <w:rPr>
          <w:rFonts w:asciiTheme="minorHAnsi" w:hAnsiTheme="minorHAnsi" w:cstheme="minorHAnsi"/>
          <w:sz w:val="22"/>
          <w:szCs w:val="22"/>
        </w:rPr>
        <w:t xml:space="preserve">by </w:t>
      </w:r>
      <w:r w:rsidR="00A10ACC">
        <w:rPr>
          <w:rFonts w:asciiTheme="minorHAnsi" w:hAnsiTheme="minorHAnsi" w:cstheme="minorHAnsi"/>
          <w:sz w:val="22"/>
          <w:szCs w:val="22"/>
        </w:rPr>
        <w:fldChar w:fldCharType="begin" w:fldLock="1"/>
      </w:r>
      <w:r w:rsidR="007354F1">
        <w:rPr>
          <w:rFonts w:asciiTheme="minorHAnsi" w:hAnsiTheme="minorHAnsi" w:cstheme="minorHAnsi"/>
          <w:sz w:val="22"/>
          <w:szCs w:val="22"/>
        </w:rPr>
        <w:instrText>ADDIN CSL_CITATION {"citationItems":[{"id":"ITEM-1","itemData":{"DOI":"https://doi.org/10.26555/almisbah.v9i2.3908","abstract":"… the Qur'an, including drill method/spelling practice, peer tutoring method, … Pengertian lain metode drill atau latihan adalah metode … Metode drill juga bisa bermakna suatu cara penyajian …","author":[{"dropping-particle":"","family":"Alif","given":"Muh","non-dropping-particle":"","parse-names":false,"suffix":""},{"dropping-particle":"","family":"Nuryana","given":"Zalik","non-dropping-particle":"","parse-names":false,"suffix":""},{"dropping-particle":"","family":"Yuliana","given":"Anaas Tri Ridlo Dina","non-dropping-particle":"","parse-names":false,"suffix":""},{"dropping-particle":"","family":"Rahman","given":"Arif","non-dropping-particle":"","parse-names":false,"suffix":""}],"container-title":"Al-MISBAH (Jurnal Islamic Studies)","id":"ITEM-1","issue":"2","issued":{"date-parts":[["2021"]]},"page":"140-151","title":"Innovative Learning Strategies and Methods to Overcome Difficulties in Reading the Qur'an","type":"article-journal","volume":"9"},"uris":["http://www.mendeley.com/documents/?uuid=bf9876fd-f66f-48a3-8b50-1c2a5e380572"]}],"mendeley":{"formattedCitation":"(Alif et al., 2021)","manualFormatting":"Alif et al. (2021)","plainTextFormattedCitation":"(Alif et al., 2021)","previouslyFormattedCitation":"(Alif et al., 2021)"},"properties":{"noteIndex":0},"schema":"https://github.com/citation-style-language/schema/raw/master/csl-citation.json"}</w:instrText>
      </w:r>
      <w:r w:rsidR="00A10ACC">
        <w:rPr>
          <w:rFonts w:asciiTheme="minorHAnsi" w:hAnsiTheme="minorHAnsi" w:cstheme="minorHAnsi"/>
          <w:sz w:val="22"/>
          <w:szCs w:val="22"/>
        </w:rPr>
        <w:fldChar w:fldCharType="separate"/>
      </w:r>
      <w:r w:rsidR="00A10ACC" w:rsidRPr="00A10ACC">
        <w:rPr>
          <w:rFonts w:asciiTheme="minorHAnsi" w:hAnsiTheme="minorHAnsi" w:cstheme="minorHAnsi"/>
          <w:noProof/>
          <w:sz w:val="22"/>
          <w:szCs w:val="22"/>
        </w:rPr>
        <w:t xml:space="preserve">Alif et al. </w:t>
      </w:r>
      <w:r w:rsidR="00A10ACC">
        <w:rPr>
          <w:rFonts w:asciiTheme="minorHAnsi" w:hAnsiTheme="minorHAnsi" w:cstheme="minorHAnsi"/>
          <w:noProof/>
          <w:sz w:val="22"/>
          <w:szCs w:val="22"/>
        </w:rPr>
        <w:t>(</w:t>
      </w:r>
      <w:r w:rsidR="00A10ACC" w:rsidRPr="00A10ACC">
        <w:rPr>
          <w:rFonts w:asciiTheme="minorHAnsi" w:hAnsiTheme="minorHAnsi" w:cstheme="minorHAnsi"/>
          <w:noProof/>
          <w:sz w:val="22"/>
          <w:szCs w:val="22"/>
        </w:rPr>
        <w:t>2021)</w:t>
      </w:r>
      <w:r w:rsidR="00A10ACC">
        <w:rPr>
          <w:rFonts w:asciiTheme="minorHAnsi" w:hAnsiTheme="minorHAnsi" w:cstheme="minorHAnsi"/>
          <w:sz w:val="22"/>
          <w:szCs w:val="22"/>
        </w:rPr>
        <w:fldChar w:fldCharType="end"/>
      </w:r>
      <w:r w:rsidR="00A10ACC">
        <w:rPr>
          <w:rFonts w:asciiTheme="minorHAnsi" w:hAnsiTheme="minorHAnsi" w:cstheme="minorHAnsi"/>
          <w:sz w:val="22"/>
          <w:szCs w:val="22"/>
        </w:rPr>
        <w:t xml:space="preserve"> </w:t>
      </w:r>
      <w:r w:rsidRPr="00BB7446">
        <w:rPr>
          <w:rFonts w:asciiTheme="minorHAnsi" w:hAnsiTheme="minorHAnsi" w:cstheme="minorHAnsi"/>
          <w:sz w:val="22"/>
          <w:szCs w:val="22"/>
        </w:rPr>
        <w:t xml:space="preserve">and </w:t>
      </w:r>
      <w:r w:rsidR="007354F1">
        <w:rPr>
          <w:rFonts w:asciiTheme="minorHAnsi" w:hAnsiTheme="minorHAnsi" w:cstheme="minorHAnsi"/>
          <w:sz w:val="22"/>
          <w:szCs w:val="22"/>
        </w:rPr>
        <w:fldChar w:fldCharType="begin" w:fldLock="1"/>
      </w:r>
      <w:r w:rsidR="00DB5D71">
        <w:rPr>
          <w:rFonts w:asciiTheme="minorHAnsi" w:hAnsiTheme="minorHAnsi" w:cstheme="minorHAnsi"/>
          <w:sz w:val="22"/>
          <w:szCs w:val="22"/>
        </w:rPr>
        <w:instrText>ADDIN CSL_CITATION {"citationItems":[{"id":"ITEM-1","itemData":{"DOI":"10.14421/jpai.v21i2.8238","ISSN":"25022075","abstract":"Purpose – Competent teachers have the ability to confront and design high-quality instruction that plays a pivotal role in nurturing the multifaceted development and equilibrium of students. Nevertheless, some research has revealed that there is a need for enhancement in teachers' competencies with regards to their knowledge, skills, and attitudes. In this context, a comprehensive review of the literature was undertaken to examine the many themes associated with the competence of teachers in instructing the Special Class on Quranic Recitation and Memorization Skills (KKQ) inside educational institutions. Methods – The present study employs a qualitative approach, utilizing the design of document content analysis to examine journal articles. Four widely utilized databases, notably Google Scholar, ResearchGate, Mendeley, and Malaysian Citation Index, are employed to conduct searches for scholarly publications released within the period of 2019 to 2023. In this study, a comprehensive analysis was conducted on a set of 30 publications that satisfied the established criteria. Findings – The analysis revealed the identification of six distinct themes pertaining to teacher competencies. These topics encompassed pedagogical knowledge, content knowledge, curriculum knowledge, knowledge of the background of students, and teacher skills. Research implications – The findings of this study suggest that stakeholders, at both the Ministry of Education Malaysia level and the implementation level of the program in schools, should prioritize the Special Class on Quranic Recitation and Memorization Skills. This attention is necessary to enhance and improve the competency of teachers, ultimately leading to the successful achievement of the goal of producing Quranic-skilled and passionate students. Originality/value – Further research is required to assess the proficiency of teachers in employing e-learning and multimedia tools for KKQ teaching.","author":[{"dropping-particle":"","family":"Mubi","given":"Zulkifli Abd","non-dropping-particle":"","parse-names":false,"suffix":""},{"dropping-particle":"","family":"Hussin","given":"Haziyah","non-dropping-particle":"","parse-names":false,"suffix":""},{"dropping-particle":"","family":"Mohamad","given":"Sabri","non-dropping-particle":"","parse-names":false,"suffix":""}],"container-title":"Jurnal Pendidikan Agama Islam","id":"ITEM-1","issue":"2","issued":{"date-parts":[["2024"]]},"page":"346-363","title":"A Literature Highlight on Teachers Competency Level in Teaching Special Class on Quranic Recitation and Memorization Skills (KKQ)","type":"article-journal","volume":"17"},"uris":["http://www.mendeley.com/documents/?uuid=3e4c4de8-46ea-4676-a16e-b3ba8f8c7ac1"]}],"mendeley":{"formattedCitation":"(Mubi et al., 2024)","manualFormatting":"Mubi et al., (2024)","plainTextFormattedCitation":"(Mubi et al., 2024)","previouslyFormattedCitation":"(Mubi et al., 2024)"},"properties":{"noteIndex":0},"schema":"https://github.com/citation-style-language/schema/raw/master/csl-citation.json"}</w:instrText>
      </w:r>
      <w:r w:rsidR="007354F1">
        <w:rPr>
          <w:rFonts w:asciiTheme="minorHAnsi" w:hAnsiTheme="minorHAnsi" w:cstheme="minorHAnsi"/>
          <w:sz w:val="22"/>
          <w:szCs w:val="22"/>
        </w:rPr>
        <w:fldChar w:fldCharType="separate"/>
      </w:r>
      <w:r w:rsidR="007354F1" w:rsidRPr="007354F1">
        <w:rPr>
          <w:rFonts w:asciiTheme="minorHAnsi" w:hAnsiTheme="minorHAnsi" w:cstheme="minorHAnsi"/>
          <w:noProof/>
          <w:sz w:val="22"/>
          <w:szCs w:val="22"/>
        </w:rPr>
        <w:t xml:space="preserve">Mubi et al., </w:t>
      </w:r>
      <w:r w:rsidR="007354F1">
        <w:rPr>
          <w:rFonts w:asciiTheme="minorHAnsi" w:hAnsiTheme="minorHAnsi" w:cstheme="minorHAnsi"/>
          <w:noProof/>
          <w:sz w:val="22"/>
          <w:szCs w:val="22"/>
        </w:rPr>
        <w:t>(</w:t>
      </w:r>
      <w:r w:rsidR="007354F1" w:rsidRPr="007354F1">
        <w:rPr>
          <w:rFonts w:asciiTheme="minorHAnsi" w:hAnsiTheme="minorHAnsi" w:cstheme="minorHAnsi"/>
          <w:noProof/>
          <w:sz w:val="22"/>
          <w:szCs w:val="22"/>
        </w:rPr>
        <w:t>2024)</w:t>
      </w:r>
      <w:r w:rsidR="007354F1">
        <w:rPr>
          <w:rFonts w:asciiTheme="minorHAnsi" w:hAnsiTheme="minorHAnsi" w:cstheme="minorHAnsi"/>
          <w:sz w:val="22"/>
          <w:szCs w:val="22"/>
        </w:rPr>
        <w:fldChar w:fldCharType="end"/>
      </w:r>
      <w:r w:rsidR="00A10ACC">
        <w:rPr>
          <w:rFonts w:asciiTheme="minorHAnsi" w:hAnsiTheme="minorHAnsi" w:cstheme="minorHAnsi"/>
          <w:sz w:val="22"/>
          <w:szCs w:val="22"/>
        </w:rPr>
        <w:t xml:space="preserve"> </w:t>
      </w:r>
      <w:r w:rsidRPr="00C515C0">
        <w:rPr>
          <w:rFonts w:asciiTheme="minorHAnsi" w:hAnsiTheme="minorHAnsi" w:cstheme="minorHAnsi"/>
          <w:sz w:val="22"/>
          <w:szCs w:val="22"/>
          <w:lang w:val="en-ID"/>
        </w:rPr>
        <w:t>emphasize the importance of innovative teaching methods, the role of competent teachers, and environmental support as key factors in improving the ability to read the Qur'an. However, there is still a lack of research specifically addressing the causes of low Qur'an reading ability in certain junior high schools, so this study is expected to fill that gap through more in-depth and contextual analysis.</w:t>
      </w:r>
    </w:p>
    <w:p w14:paraId="5C02C4AC" w14:textId="7EFB7837" w:rsidR="003B560C" w:rsidRDefault="003B560C" w:rsidP="00C27B0D">
      <w:pPr>
        <w:ind w:firstLine="426"/>
        <w:jc w:val="both"/>
        <w:rPr>
          <w:rFonts w:asciiTheme="minorHAnsi" w:hAnsiTheme="minorHAnsi" w:cstheme="minorHAnsi"/>
          <w:sz w:val="22"/>
          <w:szCs w:val="22"/>
          <w:lang w:val="en-ID"/>
        </w:rPr>
      </w:pPr>
      <w:r w:rsidRPr="00AD12D1">
        <w:rPr>
          <w:rFonts w:asciiTheme="minorHAnsi" w:hAnsiTheme="minorHAnsi" w:cstheme="minorHAnsi"/>
          <w:sz w:val="22"/>
          <w:szCs w:val="22"/>
          <w:lang w:val="en-ID"/>
        </w:rPr>
        <w:t>This study has significant value both academically and practically. Academically, the findings of this study are expected to contribute to the development of Islamic education, particularly in the field of Quranic reading instruction. Practically, the research findings can serve as a basis for evaluation and improvement for teachers and school administrators in designing more effective teaching strategies, while also providing guidance for education policymakers to enhance the quality of religious education in junior high schools and other schools facing similar challenges.</w:t>
      </w:r>
    </w:p>
    <w:p w14:paraId="713FE4E1" w14:textId="01BE5CD1" w:rsidR="003B560C" w:rsidRPr="00AD12D1" w:rsidRDefault="003B560C" w:rsidP="00C27B0D">
      <w:pPr>
        <w:ind w:firstLine="426"/>
        <w:jc w:val="both"/>
        <w:rPr>
          <w:rFonts w:asciiTheme="minorHAnsi" w:hAnsiTheme="minorHAnsi" w:cstheme="minorHAnsi"/>
          <w:sz w:val="22"/>
          <w:szCs w:val="22"/>
          <w:lang w:val="en-ID"/>
        </w:rPr>
      </w:pPr>
      <w:r w:rsidRPr="00AD12D1">
        <w:rPr>
          <w:rFonts w:asciiTheme="minorHAnsi" w:hAnsiTheme="minorHAnsi" w:cstheme="minorHAnsi"/>
          <w:sz w:val="22"/>
          <w:szCs w:val="22"/>
          <w:lang w:val="en-ID"/>
        </w:rPr>
        <w:t>Thus, this study aims to conduct a comprehensive analysis of junior high school students' ability to read the Qur'an, so that it can provide appropriate recommendations to improve the quality of Qur'anic education in these schools.</w:t>
      </w:r>
    </w:p>
    <w:bookmarkEnd w:id="1"/>
    <w:bookmarkEnd w:id="2"/>
    <w:p w14:paraId="56EC80F1" w14:textId="77777777" w:rsidR="00AD12D1" w:rsidRPr="00AD12D1" w:rsidRDefault="00AD12D1" w:rsidP="00AD12D1">
      <w:pPr>
        <w:jc w:val="both"/>
        <w:rPr>
          <w:rFonts w:asciiTheme="minorHAnsi" w:hAnsiTheme="minorHAnsi" w:cstheme="minorHAnsi"/>
          <w:sz w:val="22"/>
          <w:szCs w:val="22"/>
          <w:lang w:val="en-ID"/>
        </w:rPr>
      </w:pPr>
    </w:p>
    <w:p w14:paraId="093C63CE" w14:textId="77777777" w:rsidR="00EE5178" w:rsidRDefault="00A274B2">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METHODS</w:t>
      </w:r>
    </w:p>
    <w:p w14:paraId="0448FE25" w14:textId="1EBAD8ED" w:rsidR="00EE5178" w:rsidRDefault="00F968F9" w:rsidP="00F968F9">
      <w:pPr>
        <w:jc w:val="both"/>
        <w:rPr>
          <w:rFonts w:ascii="Calibri" w:eastAsia="Calibri" w:hAnsi="Calibri" w:cs="Calibri"/>
          <w:bCs/>
          <w:sz w:val="22"/>
          <w:szCs w:val="22"/>
        </w:rPr>
      </w:pPr>
      <w:r>
        <w:rPr>
          <w:rFonts w:ascii="Calibri" w:eastAsia="Calibri" w:hAnsi="Calibri" w:cs="Calibri"/>
          <w:bCs/>
          <w:sz w:val="22"/>
          <w:szCs w:val="22"/>
        </w:rPr>
        <w:tab/>
      </w:r>
      <w:r w:rsidRPr="0070003F">
        <w:rPr>
          <w:rFonts w:ascii="Calibri" w:eastAsia="Calibri" w:hAnsi="Calibri" w:cs="Calibri"/>
          <w:bCs/>
          <w:sz w:val="22"/>
          <w:szCs w:val="22"/>
        </w:rPr>
        <w:t xml:space="preserve">This study employs a qualitative approach with a descriptive research design to gain an in-depth understanding of the phenomena at </w:t>
      </w:r>
      <w:r w:rsidR="00AD12D1" w:rsidRPr="00AD12D1">
        <w:rPr>
          <w:rFonts w:asciiTheme="minorHAnsi" w:hAnsiTheme="minorHAnsi" w:cstheme="minorHAnsi"/>
          <w:sz w:val="22"/>
          <w:szCs w:val="22"/>
          <w:lang w:val="en-ID"/>
        </w:rPr>
        <w:t>junior high schools</w:t>
      </w:r>
      <w:r w:rsidR="00AD12D1" w:rsidRPr="0070003F">
        <w:rPr>
          <w:rFonts w:ascii="Calibri" w:eastAsia="Calibri" w:hAnsi="Calibri" w:cs="Calibri"/>
          <w:bCs/>
          <w:sz w:val="22"/>
          <w:szCs w:val="22"/>
        </w:rPr>
        <w:t xml:space="preserve"> </w:t>
      </w:r>
      <w:r w:rsidRPr="0070003F">
        <w:rPr>
          <w:rFonts w:ascii="Calibri" w:eastAsia="Calibri" w:hAnsi="Calibri" w:cs="Calibri"/>
          <w:bCs/>
          <w:sz w:val="22"/>
          <w:szCs w:val="22"/>
        </w:rPr>
        <w:t xml:space="preserve">from November 2024 to May 2025. The research population consists of 13 individuals, including 10 seventh-grade students, one Islamic Education teacher, one Vice Principal for Student Affairs, and one School Principal, all selected through purposive sampling based on their key roles in the educational process. Data were collected using structured observation sheets to record students’ use of learning media and classroom behavior, in-depth interviews guided by open-ended questions exploring learning motivation, media use, and academic achievement, as well as documentation such as class schedules, attendance lists, academic records, and photographs of learning activities. The instruments used included observation sheets, interview guidelines, and documentation </w:t>
      </w:r>
      <w:r w:rsidRPr="0070003F">
        <w:rPr>
          <w:rFonts w:ascii="Calibri" w:eastAsia="Calibri" w:hAnsi="Calibri" w:cs="Calibri"/>
          <w:bCs/>
          <w:sz w:val="22"/>
          <w:szCs w:val="22"/>
        </w:rPr>
        <w:lastRenderedPageBreak/>
        <w:t xml:space="preserve">formats. Data analysis was conducted qualitatively following the </w:t>
      </w:r>
      <w:r w:rsidRPr="0070003F">
        <w:rPr>
          <w:rFonts w:asciiTheme="minorHAnsi" w:hAnsiTheme="minorHAnsi" w:cstheme="minorHAnsi"/>
          <w:sz w:val="22"/>
          <w:szCs w:val="22"/>
        </w:rPr>
        <w:fldChar w:fldCharType="begin" w:fldLock="1"/>
      </w:r>
      <w:r w:rsidRPr="0070003F">
        <w:rPr>
          <w:rFonts w:asciiTheme="minorHAnsi" w:hAnsiTheme="minorHAnsi" w:cstheme="minorHAnsi"/>
          <w:sz w:val="22"/>
          <w:szCs w:val="22"/>
        </w:rPr>
        <w:instrText>ADDIN CSL_CITATION {"citationItems":[{"id":"ITEM-1","itemData":{"DOI":"https://vivauniversity.wordpress.com/wp-content/uploads/2013/11/milesandhuberman1994.pdf","ISSN":"16130073","author":[{"dropping-particle":"","family":"Miles","given":"Matthew B","non-dropping-particle":"","parse-names":false,"suffix":""},{"dropping-particle":"","family":"Huberman","given":"A Michael","non-dropping-particle":"","parse-names":false,"suffix":""}],"container-title":"Sage Publication","edition":"Second Edi","id":"ITEM-1","issued":{"date-parts":[["1994"]]},"number-of-pages":"1-337","publisher":"Sage Publications","title":"Qualitative Data Analysis","type":"book"},"uris":["http://www.mendeley.com/documents/?uuid=cc762582-b159-465a-bf18-9d62ab1c3e70"]}],"mendeley":{"formattedCitation":"(Miles &amp; Huberman, 1994)","manualFormatting":"Miles &amp; Huberman (1994)","plainTextFormattedCitation":"(Miles &amp; Huberman, 1994)","previouslyFormattedCitation":"(Miles &amp; Huberman, 1994)"},"properties":{"noteIndex":0},"schema":"https://github.com/citation-style-language/schema/raw/master/csl-citation.json"}</w:instrText>
      </w:r>
      <w:r w:rsidRPr="0070003F">
        <w:rPr>
          <w:rFonts w:asciiTheme="minorHAnsi" w:hAnsiTheme="minorHAnsi" w:cstheme="minorHAnsi"/>
          <w:sz w:val="22"/>
          <w:szCs w:val="22"/>
        </w:rPr>
        <w:fldChar w:fldCharType="separate"/>
      </w:r>
      <w:r w:rsidRPr="0070003F">
        <w:rPr>
          <w:rFonts w:asciiTheme="minorHAnsi" w:hAnsiTheme="minorHAnsi" w:cstheme="minorHAnsi"/>
          <w:noProof/>
          <w:sz w:val="22"/>
          <w:szCs w:val="22"/>
        </w:rPr>
        <w:t>Miles &amp; Huberman (1994)</w:t>
      </w:r>
      <w:r w:rsidRPr="0070003F">
        <w:rPr>
          <w:rFonts w:asciiTheme="minorHAnsi" w:hAnsiTheme="minorHAnsi" w:cstheme="minorHAnsi"/>
          <w:sz w:val="22"/>
          <w:szCs w:val="22"/>
        </w:rPr>
        <w:fldChar w:fldCharType="end"/>
      </w:r>
      <w:r w:rsidRPr="0070003F">
        <w:rPr>
          <w:rFonts w:ascii="Calibri" w:eastAsia="Calibri" w:hAnsi="Calibri" w:cs="Calibri"/>
          <w:bCs/>
          <w:sz w:val="22"/>
          <w:szCs w:val="22"/>
        </w:rPr>
        <w:t xml:space="preserve"> model, which consists of data reduction, data display, and conclusion drawing or verification, without the use of statistical methods or quantitative analysis software, given the interpretative nature of this research. Data validity was ensured through source and technique triangulation as recommended by </w:t>
      </w:r>
      <w:r w:rsidRPr="0070003F">
        <w:rPr>
          <w:rFonts w:asciiTheme="minorHAnsi" w:hAnsiTheme="minorHAnsi" w:cstheme="minorHAnsi"/>
          <w:sz w:val="22"/>
          <w:szCs w:val="22"/>
        </w:rPr>
        <w:fldChar w:fldCharType="begin" w:fldLock="1"/>
      </w:r>
      <w:r w:rsidRPr="0070003F">
        <w:rPr>
          <w:rFonts w:asciiTheme="minorHAnsi" w:hAnsiTheme="minorHAnsi" w:cstheme="minorHAnsi"/>
          <w:sz w:val="22"/>
          <w:szCs w:val="22"/>
        </w:rPr>
        <w:instrText>ADDIN CSL_CITATION {"citationItems":[{"id":"ITEM-1","itemData":{"DOI":"https://inlislite.uin-suska.ac.id/opac/detail-opac?id=12221","author":[{"dropping-particle":"","family":"Moleong","given":"Lexy J","non-dropping-particle":"","parse-names":false,"suffix":""}],"edition":"36","id":"ITEM-1","issued":{"date-parts":[["2017"]]},"number-of-pages":"1-410","publisher":"Remaja Rosdakarya","title":"Metodologi Penelitian Kualitatif","type":"book"},"uris":["http://www.mendeley.com/documents/?uuid=87a40f3f-4459-4efa-a137-0af5787206f3"]}],"mendeley":{"formattedCitation":"(Moleong, 2017)","manualFormatting":"Moleong (2017)","plainTextFormattedCitation":"(Moleong, 2017)","previouslyFormattedCitation":"(Moleong, 2017)"},"properties":{"noteIndex":0},"schema":"https://github.com/citation-style-language/schema/raw/master/csl-citation.json"}</w:instrText>
      </w:r>
      <w:r w:rsidRPr="0070003F">
        <w:rPr>
          <w:rFonts w:asciiTheme="minorHAnsi" w:hAnsiTheme="minorHAnsi" w:cstheme="minorHAnsi"/>
          <w:sz w:val="22"/>
          <w:szCs w:val="22"/>
        </w:rPr>
        <w:fldChar w:fldCharType="separate"/>
      </w:r>
      <w:r w:rsidRPr="0070003F">
        <w:rPr>
          <w:rFonts w:asciiTheme="minorHAnsi" w:hAnsiTheme="minorHAnsi" w:cstheme="minorHAnsi"/>
          <w:noProof/>
          <w:sz w:val="22"/>
          <w:szCs w:val="22"/>
        </w:rPr>
        <w:t>Moleong (2017)</w:t>
      </w:r>
      <w:r w:rsidRPr="0070003F">
        <w:rPr>
          <w:rFonts w:asciiTheme="minorHAnsi" w:hAnsiTheme="minorHAnsi" w:cstheme="minorHAnsi"/>
          <w:sz w:val="22"/>
          <w:szCs w:val="22"/>
        </w:rPr>
        <w:fldChar w:fldCharType="end"/>
      </w:r>
      <w:r w:rsidRPr="0070003F">
        <w:rPr>
          <w:rFonts w:ascii="Calibri" w:eastAsia="Calibri" w:hAnsi="Calibri" w:cs="Calibri"/>
          <w:bCs/>
          <w:sz w:val="22"/>
          <w:szCs w:val="22"/>
        </w:rPr>
        <w:t>, while research ethics were maintained by obtaining official permission, ensuring participant confidentiality, and respecting privacy throughout the research process.</w:t>
      </w:r>
    </w:p>
    <w:p w14:paraId="63C0C5EA" w14:textId="77777777" w:rsidR="006E5FD2" w:rsidRPr="00F968F9" w:rsidRDefault="006E5FD2" w:rsidP="00F968F9">
      <w:pPr>
        <w:jc w:val="both"/>
        <w:rPr>
          <w:rFonts w:ascii="Calibri" w:eastAsia="Calibri" w:hAnsi="Calibri" w:cs="Calibri"/>
          <w:bCs/>
          <w:sz w:val="22"/>
          <w:szCs w:val="22"/>
          <w:lang w:val="en-ID"/>
        </w:rPr>
      </w:pPr>
    </w:p>
    <w:p w14:paraId="7F4A793A" w14:textId="77777777" w:rsidR="00EE5178" w:rsidRDefault="00A274B2">
      <w:pPr>
        <w:rPr>
          <w:rFonts w:ascii="Calibri" w:eastAsia="Calibri" w:hAnsi="Calibri" w:cs="Calibri"/>
          <w:b/>
          <w:sz w:val="22"/>
          <w:szCs w:val="22"/>
        </w:rPr>
      </w:pPr>
      <w:r>
        <w:rPr>
          <w:rFonts w:ascii="Calibri" w:eastAsia="Calibri" w:hAnsi="Calibri" w:cs="Calibri"/>
          <w:b/>
          <w:sz w:val="22"/>
          <w:szCs w:val="22"/>
        </w:rPr>
        <w:t>RESULTS AND DISCUSSION</w:t>
      </w:r>
    </w:p>
    <w:p w14:paraId="67199137" w14:textId="77777777" w:rsidR="00EE5178" w:rsidRDefault="00A274B2">
      <w:pPr>
        <w:rPr>
          <w:rFonts w:ascii="Calibri" w:eastAsia="Calibri" w:hAnsi="Calibri" w:cs="Calibri"/>
          <w:i/>
          <w:sz w:val="22"/>
          <w:szCs w:val="22"/>
        </w:rPr>
      </w:pPr>
      <w:r>
        <w:rPr>
          <w:rFonts w:ascii="Calibri" w:eastAsia="Calibri" w:hAnsi="Calibri" w:cs="Calibri"/>
          <w:b/>
          <w:sz w:val="22"/>
          <w:szCs w:val="22"/>
        </w:rPr>
        <w:t>Results</w:t>
      </w:r>
    </w:p>
    <w:p w14:paraId="282BDCDE" w14:textId="0531A1A6" w:rsidR="00F968F9" w:rsidRPr="0070003F" w:rsidRDefault="00F968F9" w:rsidP="00F968F9">
      <w:pPr>
        <w:ind w:firstLine="426"/>
        <w:jc w:val="both"/>
        <w:rPr>
          <w:rFonts w:ascii="Calibri" w:eastAsia="Calibri" w:hAnsi="Calibri" w:cs="Calibri"/>
          <w:sz w:val="22"/>
          <w:szCs w:val="22"/>
        </w:rPr>
      </w:pPr>
      <w:r w:rsidRPr="0070003F">
        <w:rPr>
          <w:rFonts w:ascii="Calibri" w:eastAsia="Calibri" w:hAnsi="Calibri" w:cs="Calibri"/>
          <w:sz w:val="22"/>
          <w:szCs w:val="22"/>
        </w:rPr>
        <w:t>Based on observations, there are no regular activities for reading the Qur'an at</w:t>
      </w:r>
      <w:r w:rsidR="00AD12D1">
        <w:rPr>
          <w:rFonts w:ascii="Calibri" w:eastAsia="Calibri" w:hAnsi="Calibri" w:cs="Calibri"/>
          <w:sz w:val="22"/>
          <w:szCs w:val="22"/>
        </w:rPr>
        <w:t xml:space="preserve"> </w:t>
      </w:r>
      <w:r w:rsidR="00AD12D1" w:rsidRPr="00AD12D1">
        <w:rPr>
          <w:rFonts w:asciiTheme="minorHAnsi" w:hAnsiTheme="minorHAnsi" w:cstheme="minorHAnsi"/>
          <w:sz w:val="22"/>
          <w:szCs w:val="22"/>
          <w:lang w:val="en-ID"/>
        </w:rPr>
        <w:t>junior high schools</w:t>
      </w:r>
      <w:r w:rsidRPr="0070003F">
        <w:rPr>
          <w:rFonts w:ascii="Calibri" w:eastAsia="Calibri" w:hAnsi="Calibri" w:cs="Calibri"/>
          <w:sz w:val="22"/>
          <w:szCs w:val="22"/>
        </w:rPr>
        <w:t>. There are no morning recitation programs, tahsin classes, or scheduled Qur'an literacy activities before or after lessons. Students only read the Qur'an during Islamic Education lessons, and even then, the time is very limited, averaging only 15–20 minutes per session.</w:t>
      </w:r>
    </w:p>
    <w:p w14:paraId="40C96E4A" w14:textId="77777777" w:rsidR="00CC3004" w:rsidRDefault="00CC3004" w:rsidP="00CC3004">
      <w:pPr>
        <w:jc w:val="center"/>
        <w:rPr>
          <w:rFonts w:asciiTheme="minorHAnsi" w:hAnsiTheme="minorHAnsi" w:cstheme="minorHAnsi"/>
          <w:sz w:val="22"/>
          <w:szCs w:val="22"/>
        </w:rPr>
      </w:pPr>
      <w:r w:rsidRPr="0070003F">
        <w:rPr>
          <w:rFonts w:asciiTheme="minorHAnsi" w:hAnsiTheme="minorHAnsi" w:cstheme="minorHAnsi"/>
          <w:noProof/>
          <w:sz w:val="22"/>
          <w:szCs w:val="22"/>
          <w:lang w:val="id-ID" w:eastAsia="id-ID"/>
        </w:rPr>
        <w:drawing>
          <wp:inline distT="0" distB="0" distL="0" distR="0" wp14:anchorId="3CAE8FF8" wp14:editId="4FC08F44">
            <wp:extent cx="2463800" cy="2076450"/>
            <wp:effectExtent l="0" t="0" r="0" b="0"/>
            <wp:docPr id="9353431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43165" name="Picture 93534316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3800" cy="2076450"/>
                    </a:xfrm>
                    <a:prstGeom prst="rect">
                      <a:avLst/>
                    </a:prstGeom>
                  </pic:spPr>
                </pic:pic>
              </a:graphicData>
            </a:graphic>
          </wp:inline>
        </w:drawing>
      </w:r>
    </w:p>
    <w:p w14:paraId="626CB7E0" w14:textId="25E6A3BF" w:rsidR="00F968F9" w:rsidRPr="0070003F" w:rsidRDefault="00F968F9" w:rsidP="00CC3004">
      <w:pPr>
        <w:jc w:val="center"/>
        <w:rPr>
          <w:rFonts w:asciiTheme="minorHAnsi" w:hAnsiTheme="minorHAnsi" w:cstheme="minorHAnsi"/>
          <w:sz w:val="22"/>
          <w:szCs w:val="22"/>
        </w:rPr>
      </w:pPr>
      <w:proofErr w:type="gramStart"/>
      <w:r w:rsidRPr="0070003F">
        <w:rPr>
          <w:rFonts w:asciiTheme="minorHAnsi" w:hAnsiTheme="minorHAnsi" w:cstheme="minorHAnsi"/>
          <w:b/>
          <w:bCs/>
          <w:i/>
          <w:iCs/>
          <w:sz w:val="22"/>
          <w:szCs w:val="22"/>
        </w:rPr>
        <w:t xml:space="preserve">Figure </w:t>
      </w:r>
      <w:r w:rsidR="00CC3004">
        <w:rPr>
          <w:rFonts w:asciiTheme="minorHAnsi" w:hAnsiTheme="minorHAnsi" w:cstheme="minorHAnsi"/>
          <w:b/>
          <w:bCs/>
          <w:i/>
          <w:iCs/>
          <w:sz w:val="22"/>
          <w:szCs w:val="22"/>
        </w:rPr>
        <w:t>1.</w:t>
      </w:r>
      <w:proofErr w:type="gramEnd"/>
      <w:r w:rsidR="00CC3004">
        <w:rPr>
          <w:rFonts w:asciiTheme="minorHAnsi" w:hAnsiTheme="minorHAnsi" w:cstheme="minorHAnsi"/>
          <w:sz w:val="22"/>
          <w:szCs w:val="22"/>
        </w:rPr>
        <w:t xml:space="preserve"> </w:t>
      </w:r>
      <w:r w:rsidRPr="0070003F">
        <w:rPr>
          <w:rFonts w:asciiTheme="minorHAnsi" w:hAnsiTheme="minorHAnsi" w:cstheme="minorHAnsi"/>
          <w:sz w:val="22"/>
          <w:szCs w:val="22"/>
        </w:rPr>
        <w:t xml:space="preserve">Al-Qur'an reading activities </w:t>
      </w:r>
    </w:p>
    <w:p w14:paraId="7FD6F173" w14:textId="77777777" w:rsidR="00F968F9" w:rsidRDefault="00F968F9" w:rsidP="00F968F9">
      <w:pPr>
        <w:jc w:val="center"/>
        <w:rPr>
          <w:rFonts w:ascii="Calibri" w:eastAsia="Calibri" w:hAnsi="Calibri" w:cs="Calibri"/>
          <w:iCs/>
          <w:sz w:val="22"/>
          <w:szCs w:val="22"/>
        </w:rPr>
      </w:pPr>
    </w:p>
    <w:p w14:paraId="50D0F4A8" w14:textId="7792E01A" w:rsidR="00F968F9" w:rsidRDefault="00F968F9" w:rsidP="00F1781C">
      <w:pPr>
        <w:ind w:firstLine="426"/>
        <w:jc w:val="both"/>
        <w:rPr>
          <w:rFonts w:ascii="Calibri" w:eastAsia="Calibri" w:hAnsi="Calibri" w:cs="Calibri"/>
          <w:iCs/>
          <w:sz w:val="22"/>
          <w:szCs w:val="22"/>
        </w:rPr>
      </w:pPr>
      <w:r w:rsidRPr="0070003F">
        <w:rPr>
          <w:rFonts w:ascii="Calibri" w:eastAsia="Calibri" w:hAnsi="Calibri" w:cs="Calibri"/>
          <w:iCs/>
          <w:sz w:val="22"/>
          <w:szCs w:val="22"/>
        </w:rPr>
        <w:t>From interviews with ten students, data was obtained showing that seven students rarely read the Qur'an outside of school. They admitted that they were not motivated to practice because there were no group activities at school and no study buddies at home. One student said, “I rarely read the Qur'an, except during religious studies lessons. At home, no one encourages me to read it, and my friends rarely do either.”</w:t>
      </w:r>
      <w:r w:rsidR="00F1781C">
        <w:rPr>
          <w:rFonts w:ascii="Calibri" w:eastAsia="Calibri" w:hAnsi="Calibri" w:cs="Calibri"/>
          <w:iCs/>
          <w:sz w:val="22"/>
          <w:szCs w:val="22"/>
        </w:rPr>
        <w:t xml:space="preserve"> </w:t>
      </w:r>
      <w:r w:rsidRPr="0070003F">
        <w:rPr>
          <w:rFonts w:ascii="Calibri" w:eastAsia="Calibri" w:hAnsi="Calibri" w:cs="Calibri"/>
          <w:iCs/>
          <w:sz w:val="22"/>
          <w:szCs w:val="22"/>
        </w:rPr>
        <w:t>Additionally, six students reported not receiving support from their parents. Some parents cannot read the Quran, while others are too busy working to ever ask or guide their children in reading it. One student said, “My parents can’t read the Quran, so I learn on my own. Sometimes I’m lazy because no one reminds me.”</w:t>
      </w:r>
    </w:p>
    <w:p w14:paraId="292B3907" w14:textId="77777777" w:rsidR="00CC3004" w:rsidRDefault="00F968F9" w:rsidP="00CC3004">
      <w:pPr>
        <w:jc w:val="center"/>
        <w:rPr>
          <w:rFonts w:asciiTheme="minorHAnsi" w:eastAsia="Calibri" w:hAnsiTheme="minorHAnsi" w:cstheme="minorHAnsi"/>
          <w:iCs/>
          <w:sz w:val="22"/>
          <w:szCs w:val="22"/>
        </w:rPr>
      </w:pPr>
      <w:r w:rsidRPr="002D7FB9">
        <w:rPr>
          <w:rFonts w:asciiTheme="majorHAnsi" w:hAnsiTheme="majorHAnsi" w:cstheme="majorBidi"/>
          <w:noProof/>
          <w:sz w:val="22"/>
          <w:szCs w:val="22"/>
          <w:lang w:val="id-ID" w:eastAsia="id-ID"/>
        </w:rPr>
        <w:lastRenderedPageBreak/>
        <w:drawing>
          <wp:inline distT="0" distB="0" distL="0" distR="0" wp14:anchorId="04C9B9E1" wp14:editId="076C8D66">
            <wp:extent cx="2539764" cy="2453833"/>
            <wp:effectExtent l="0" t="0" r="0" b="3810"/>
            <wp:docPr id="2373379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37975" name="Picture 23733797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6241" cy="2498738"/>
                    </a:xfrm>
                    <a:prstGeom prst="rect">
                      <a:avLst/>
                    </a:prstGeom>
                  </pic:spPr>
                </pic:pic>
              </a:graphicData>
            </a:graphic>
          </wp:inline>
        </w:drawing>
      </w:r>
    </w:p>
    <w:p w14:paraId="52E9DABA" w14:textId="3F629207" w:rsidR="00F968F9" w:rsidRDefault="00F968F9" w:rsidP="00CC3004">
      <w:pPr>
        <w:jc w:val="center"/>
        <w:rPr>
          <w:rFonts w:asciiTheme="minorHAnsi" w:hAnsiTheme="minorHAnsi" w:cstheme="minorHAnsi"/>
          <w:sz w:val="22"/>
          <w:szCs w:val="22"/>
        </w:rPr>
      </w:pPr>
      <w:proofErr w:type="gramStart"/>
      <w:r w:rsidRPr="002D7FB9">
        <w:rPr>
          <w:rFonts w:asciiTheme="minorHAnsi" w:hAnsiTheme="minorHAnsi" w:cstheme="minorHAnsi"/>
          <w:b/>
          <w:bCs/>
          <w:i/>
          <w:iCs/>
          <w:sz w:val="22"/>
          <w:szCs w:val="22"/>
        </w:rPr>
        <w:t xml:space="preserve">Figure </w:t>
      </w:r>
      <w:r w:rsidR="00CC3004">
        <w:rPr>
          <w:rFonts w:asciiTheme="minorHAnsi" w:hAnsiTheme="minorHAnsi" w:cstheme="minorHAnsi"/>
          <w:b/>
          <w:bCs/>
          <w:i/>
          <w:iCs/>
          <w:sz w:val="22"/>
          <w:szCs w:val="22"/>
        </w:rPr>
        <w:t>2</w:t>
      </w:r>
      <w:r w:rsidRPr="002D7FB9">
        <w:rPr>
          <w:rFonts w:asciiTheme="minorHAnsi" w:hAnsiTheme="minorHAnsi" w:cstheme="minorHAnsi"/>
          <w:b/>
          <w:bCs/>
          <w:i/>
          <w:iCs/>
          <w:sz w:val="22"/>
          <w:szCs w:val="22"/>
        </w:rPr>
        <w:t>.</w:t>
      </w:r>
      <w:proofErr w:type="gramEnd"/>
      <w:r w:rsidR="00CC3004">
        <w:rPr>
          <w:rFonts w:asciiTheme="minorHAnsi" w:eastAsia="Calibri" w:hAnsiTheme="minorHAnsi" w:cstheme="minorHAnsi"/>
          <w:iCs/>
          <w:sz w:val="22"/>
          <w:szCs w:val="22"/>
        </w:rPr>
        <w:t xml:space="preserve"> </w:t>
      </w:r>
      <w:r w:rsidRPr="002D42AF">
        <w:rPr>
          <w:rFonts w:asciiTheme="minorHAnsi" w:hAnsiTheme="minorHAnsi" w:cstheme="minorHAnsi"/>
          <w:sz w:val="22"/>
          <w:szCs w:val="22"/>
        </w:rPr>
        <w:t>Interview with Students</w:t>
      </w:r>
    </w:p>
    <w:p w14:paraId="2E8B887F" w14:textId="77777777" w:rsidR="00DC5D19" w:rsidRPr="00CC3004" w:rsidRDefault="00DC5D19" w:rsidP="00CC3004">
      <w:pPr>
        <w:jc w:val="center"/>
        <w:rPr>
          <w:rFonts w:asciiTheme="minorHAnsi" w:eastAsia="Calibri" w:hAnsiTheme="minorHAnsi" w:cstheme="minorHAnsi"/>
          <w:iCs/>
          <w:sz w:val="22"/>
          <w:szCs w:val="22"/>
        </w:rPr>
      </w:pPr>
    </w:p>
    <w:p w14:paraId="70790688" w14:textId="58AC4233" w:rsidR="00F968F9" w:rsidRDefault="00F968F9" w:rsidP="00F1781C">
      <w:pPr>
        <w:ind w:firstLine="426"/>
        <w:jc w:val="both"/>
        <w:rPr>
          <w:rFonts w:ascii="Calibri" w:eastAsia="Calibri" w:hAnsi="Calibri" w:cs="Calibri"/>
          <w:iCs/>
          <w:sz w:val="22"/>
          <w:szCs w:val="22"/>
        </w:rPr>
      </w:pPr>
      <w:r w:rsidRPr="002D7FB9">
        <w:rPr>
          <w:rFonts w:ascii="Calibri" w:eastAsia="Calibri" w:hAnsi="Calibri" w:cs="Calibri"/>
          <w:iCs/>
          <w:sz w:val="22"/>
          <w:szCs w:val="22"/>
        </w:rPr>
        <w:t>Learning facilities are also an obstacle. Of the ten students, four do not have their own copies of the Qur'an at home. They can only read it at school or if they borrow it from a friend. Students who do not have a copy of the Qur'an tend to practice less frequently.</w:t>
      </w:r>
    </w:p>
    <w:p w14:paraId="6DFC7DFF" w14:textId="073103BB" w:rsidR="00F968F9" w:rsidRPr="00AA7195" w:rsidRDefault="00F968F9" w:rsidP="00CC3004">
      <w:pPr>
        <w:jc w:val="center"/>
        <w:rPr>
          <w:rFonts w:ascii="Book Antiqua" w:hAnsi="Book Antiqua" w:cstheme="majorBidi"/>
          <w:i/>
          <w:iCs/>
        </w:rPr>
      </w:pPr>
      <w:r w:rsidRPr="00AA7195">
        <w:rPr>
          <w:rFonts w:ascii="Book Antiqua" w:hAnsi="Book Antiqua" w:cstheme="majorBidi"/>
          <w:noProof/>
          <w:lang w:val="id-ID" w:eastAsia="id-ID"/>
        </w:rPr>
        <w:drawing>
          <wp:inline distT="0" distB="0" distL="0" distR="0" wp14:anchorId="160A6CCF" wp14:editId="2E78FE7A">
            <wp:extent cx="2489200" cy="2152650"/>
            <wp:effectExtent l="0" t="0" r="6350" b="0"/>
            <wp:docPr id="1972043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43061" name="Picture 197204306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9200" cy="2152650"/>
                    </a:xfrm>
                    <a:prstGeom prst="rect">
                      <a:avLst/>
                    </a:prstGeom>
                  </pic:spPr>
                </pic:pic>
              </a:graphicData>
            </a:graphic>
          </wp:inline>
        </w:drawing>
      </w:r>
      <w:r w:rsidRPr="00AA7195">
        <w:rPr>
          <w:rFonts w:ascii="Book Antiqua" w:hAnsi="Book Antiqua" w:cstheme="majorBidi"/>
        </w:rPr>
        <w:t xml:space="preserve">     </w:t>
      </w:r>
      <w:r w:rsidRPr="00AA7195">
        <w:rPr>
          <w:rFonts w:ascii="Book Antiqua" w:hAnsi="Book Antiqua" w:cstheme="majorBidi"/>
        </w:rPr>
        <w:br/>
      </w:r>
      <w:proofErr w:type="gramStart"/>
      <w:r>
        <w:rPr>
          <w:rFonts w:asciiTheme="minorHAnsi" w:hAnsiTheme="minorHAnsi" w:cstheme="minorHAnsi"/>
          <w:b/>
          <w:bCs/>
          <w:i/>
          <w:iCs/>
          <w:sz w:val="22"/>
          <w:szCs w:val="22"/>
        </w:rPr>
        <w:t xml:space="preserve">Figure </w:t>
      </w:r>
      <w:r w:rsidR="00CC3004">
        <w:rPr>
          <w:rFonts w:asciiTheme="minorHAnsi" w:hAnsiTheme="minorHAnsi" w:cstheme="minorHAnsi"/>
          <w:b/>
          <w:bCs/>
          <w:i/>
          <w:iCs/>
          <w:sz w:val="22"/>
          <w:szCs w:val="22"/>
        </w:rPr>
        <w:t>3</w:t>
      </w:r>
      <w:r w:rsidRPr="002D7FB9">
        <w:rPr>
          <w:rFonts w:asciiTheme="minorHAnsi" w:hAnsiTheme="minorHAnsi" w:cstheme="minorHAnsi"/>
          <w:b/>
          <w:bCs/>
          <w:i/>
          <w:iCs/>
          <w:sz w:val="22"/>
          <w:szCs w:val="22"/>
        </w:rPr>
        <w:t>.</w:t>
      </w:r>
      <w:proofErr w:type="gramEnd"/>
      <w:r w:rsidR="00CC3004">
        <w:rPr>
          <w:rFonts w:asciiTheme="minorHAnsi" w:hAnsiTheme="minorHAnsi" w:cstheme="minorHAnsi"/>
          <w:i/>
          <w:iCs/>
          <w:sz w:val="22"/>
          <w:szCs w:val="22"/>
        </w:rPr>
        <w:t xml:space="preserve"> </w:t>
      </w:r>
      <w:r w:rsidRPr="002D42AF">
        <w:rPr>
          <w:rFonts w:asciiTheme="minorHAnsi" w:hAnsiTheme="minorHAnsi" w:cstheme="minorHAnsi"/>
          <w:sz w:val="22"/>
          <w:szCs w:val="22"/>
        </w:rPr>
        <w:t>The Qur'an Mushaf at school</w:t>
      </w:r>
    </w:p>
    <w:p w14:paraId="0A7AA3BD" w14:textId="77777777" w:rsidR="00F968F9" w:rsidRDefault="00F968F9" w:rsidP="00F968F9">
      <w:pPr>
        <w:jc w:val="both"/>
        <w:rPr>
          <w:rFonts w:ascii="Calibri" w:eastAsia="Calibri" w:hAnsi="Calibri" w:cs="Calibri"/>
          <w:iCs/>
          <w:sz w:val="22"/>
          <w:szCs w:val="22"/>
        </w:rPr>
      </w:pPr>
      <w:r>
        <w:rPr>
          <w:rFonts w:ascii="Calibri" w:eastAsia="Calibri" w:hAnsi="Calibri" w:cs="Calibri"/>
          <w:iCs/>
          <w:sz w:val="22"/>
          <w:szCs w:val="22"/>
        </w:rPr>
        <w:tab/>
      </w:r>
    </w:p>
    <w:p w14:paraId="1DE84621" w14:textId="63748900" w:rsidR="00F968F9" w:rsidRDefault="00F968F9" w:rsidP="00F1781C">
      <w:pPr>
        <w:ind w:firstLine="426"/>
        <w:jc w:val="both"/>
        <w:rPr>
          <w:rFonts w:ascii="Calibri" w:eastAsia="Calibri" w:hAnsi="Calibri" w:cs="Calibri"/>
          <w:iCs/>
          <w:sz w:val="22"/>
          <w:szCs w:val="22"/>
        </w:rPr>
      </w:pPr>
      <w:r w:rsidRPr="002D7FB9">
        <w:rPr>
          <w:rFonts w:ascii="Calibri" w:eastAsia="Calibri" w:hAnsi="Calibri" w:cs="Calibri"/>
          <w:iCs/>
          <w:sz w:val="22"/>
          <w:szCs w:val="22"/>
        </w:rPr>
        <w:t>The PAI teacher emphasized that the limited time allocated for religious studies meant that the process of teaching students to read the Qur'an could not be carried out to the fullest extent. The teacher said, “The time is very limited, especially since there is no special program for familiarization. Students only rely on PAI lessons, but that alone is not enough.”</w:t>
      </w:r>
    </w:p>
    <w:p w14:paraId="72D729DD" w14:textId="77777777" w:rsidR="00F968F9" w:rsidRDefault="00F968F9" w:rsidP="00F968F9">
      <w:pPr>
        <w:jc w:val="center"/>
        <w:rPr>
          <w:rFonts w:ascii="Calibri" w:eastAsia="Calibri" w:hAnsi="Calibri" w:cs="Calibri"/>
          <w:iCs/>
          <w:sz w:val="22"/>
          <w:szCs w:val="22"/>
        </w:rPr>
      </w:pPr>
      <w:r w:rsidRPr="00AA7195">
        <w:rPr>
          <w:rFonts w:ascii="Book Antiqua" w:hAnsi="Book Antiqua" w:cstheme="majorBidi"/>
          <w:noProof/>
          <w:lang w:val="id-ID" w:eastAsia="id-ID"/>
        </w:rPr>
        <w:lastRenderedPageBreak/>
        <w:drawing>
          <wp:inline distT="0" distB="0" distL="0" distR="0" wp14:anchorId="28406BDE" wp14:editId="402C33BB">
            <wp:extent cx="3206616" cy="2405062"/>
            <wp:effectExtent l="0" t="0" r="0" b="0"/>
            <wp:docPr id="174471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710724" name="Picture 1744710724"/>
                    <pic:cNvPicPr/>
                  </pic:nvPicPr>
                  <pic:blipFill>
                    <a:blip r:embed="rId18">
                      <a:extLst>
                        <a:ext uri="{28A0092B-C50C-407E-A947-70E740481C1C}">
                          <a14:useLocalDpi xmlns:a14="http://schemas.microsoft.com/office/drawing/2010/main" val="0"/>
                        </a:ext>
                      </a:extLst>
                    </a:blip>
                    <a:stretch>
                      <a:fillRect/>
                    </a:stretch>
                  </pic:blipFill>
                  <pic:spPr>
                    <a:xfrm>
                      <a:off x="0" y="0"/>
                      <a:ext cx="3214434" cy="2410926"/>
                    </a:xfrm>
                    <a:prstGeom prst="rect">
                      <a:avLst/>
                    </a:prstGeom>
                  </pic:spPr>
                </pic:pic>
              </a:graphicData>
            </a:graphic>
          </wp:inline>
        </w:drawing>
      </w:r>
    </w:p>
    <w:p w14:paraId="436E073C" w14:textId="56CCE93F" w:rsidR="00F968F9" w:rsidRDefault="00F968F9" w:rsidP="00F968F9">
      <w:pPr>
        <w:jc w:val="center"/>
        <w:rPr>
          <w:rFonts w:ascii="Calibri" w:eastAsia="Calibri" w:hAnsi="Calibri" w:cs="Calibri"/>
          <w:iCs/>
          <w:sz w:val="22"/>
          <w:szCs w:val="22"/>
        </w:rPr>
      </w:pPr>
      <w:proofErr w:type="gramStart"/>
      <w:r w:rsidRPr="00F968F9">
        <w:rPr>
          <w:rFonts w:ascii="Calibri" w:eastAsia="Calibri" w:hAnsi="Calibri" w:cs="Calibri"/>
          <w:b/>
          <w:bCs/>
          <w:iCs/>
          <w:sz w:val="22"/>
          <w:szCs w:val="22"/>
        </w:rPr>
        <w:t xml:space="preserve">Figure </w:t>
      </w:r>
      <w:r w:rsidR="00CC3004">
        <w:rPr>
          <w:rFonts w:ascii="Calibri" w:eastAsia="Calibri" w:hAnsi="Calibri" w:cs="Calibri"/>
          <w:b/>
          <w:bCs/>
          <w:iCs/>
          <w:sz w:val="22"/>
          <w:szCs w:val="22"/>
        </w:rPr>
        <w:t>4</w:t>
      </w:r>
      <w:r w:rsidRPr="00F968F9">
        <w:rPr>
          <w:rFonts w:ascii="Calibri" w:eastAsia="Calibri" w:hAnsi="Calibri" w:cs="Calibri"/>
          <w:b/>
          <w:bCs/>
          <w:iCs/>
          <w:sz w:val="22"/>
          <w:szCs w:val="22"/>
        </w:rPr>
        <w:t>.</w:t>
      </w:r>
      <w:proofErr w:type="gramEnd"/>
      <w:r>
        <w:rPr>
          <w:rFonts w:ascii="Calibri" w:eastAsia="Calibri" w:hAnsi="Calibri" w:cs="Calibri"/>
          <w:iCs/>
          <w:sz w:val="22"/>
          <w:szCs w:val="22"/>
        </w:rPr>
        <w:t xml:space="preserve"> </w:t>
      </w:r>
      <w:r w:rsidRPr="00931506">
        <w:rPr>
          <w:rFonts w:ascii="Calibri" w:eastAsia="Calibri" w:hAnsi="Calibri" w:cs="Calibri"/>
          <w:iCs/>
          <w:sz w:val="22"/>
          <w:szCs w:val="22"/>
        </w:rPr>
        <w:t>Interview with PAI teachers</w:t>
      </w:r>
    </w:p>
    <w:p w14:paraId="6F185DB0" w14:textId="77777777" w:rsidR="00F968F9" w:rsidRDefault="00F968F9" w:rsidP="00F968F9">
      <w:pPr>
        <w:jc w:val="both"/>
        <w:rPr>
          <w:rFonts w:ascii="Calibri" w:eastAsia="Calibri" w:hAnsi="Calibri" w:cs="Calibri"/>
          <w:iCs/>
          <w:sz w:val="22"/>
          <w:szCs w:val="22"/>
        </w:rPr>
      </w:pPr>
    </w:p>
    <w:p w14:paraId="14CF216D" w14:textId="08B8A31D" w:rsidR="00F968F9" w:rsidRPr="00516DB6" w:rsidRDefault="00F968F9" w:rsidP="00F1781C">
      <w:pPr>
        <w:ind w:firstLine="426"/>
        <w:jc w:val="both"/>
        <w:rPr>
          <w:rFonts w:ascii="Calibri" w:eastAsia="Calibri" w:hAnsi="Calibri" w:cs="Calibri"/>
          <w:iCs/>
          <w:sz w:val="22"/>
          <w:szCs w:val="22"/>
        </w:rPr>
      </w:pPr>
      <w:r w:rsidRPr="00516DB6">
        <w:rPr>
          <w:rFonts w:ascii="Calibri" w:eastAsia="Calibri" w:hAnsi="Calibri" w:cs="Calibri"/>
          <w:iCs/>
          <w:sz w:val="22"/>
          <w:szCs w:val="22"/>
        </w:rPr>
        <w:t>The Deputy Principal and Principal acknowledged that the school does not yet have a program to encourage students to read the Qur'an due to time constraints, a lack of teaching staff, and a focus on other academic activities. They are aware that the absence of such a program has led to low student interest and ability. The Principal stated, “We do not yet have a specific program for the habit of reading the Qur’an. Our focus is still on academics. However, we recognize that such a program is necessary in the future.”</w:t>
      </w:r>
    </w:p>
    <w:p w14:paraId="5ED7A37F" w14:textId="40DAF42E" w:rsidR="00CC3004" w:rsidRDefault="00F968F9" w:rsidP="00CC3004">
      <w:pPr>
        <w:jc w:val="center"/>
        <w:rPr>
          <w:rFonts w:asciiTheme="minorHAnsi" w:hAnsiTheme="minorHAnsi" w:cstheme="minorHAnsi"/>
          <w:b/>
          <w:bCs/>
          <w:i/>
          <w:iCs/>
          <w:sz w:val="22"/>
          <w:szCs w:val="22"/>
        </w:rPr>
      </w:pPr>
      <w:r w:rsidRPr="00AA7195">
        <w:rPr>
          <w:rFonts w:ascii="Book Antiqua" w:hAnsi="Book Antiqua" w:cstheme="majorBidi"/>
          <w:noProof/>
          <w:lang w:val="id-ID" w:eastAsia="id-ID"/>
        </w:rPr>
        <w:drawing>
          <wp:inline distT="0" distB="0" distL="0" distR="0" wp14:anchorId="2549C9FE" wp14:editId="4FE902C6">
            <wp:extent cx="2514600" cy="2590800"/>
            <wp:effectExtent l="0" t="0" r="0" b="0"/>
            <wp:docPr id="13013433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43395" name="Picture 130134339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0" cy="2590800"/>
                    </a:xfrm>
                    <a:prstGeom prst="rect">
                      <a:avLst/>
                    </a:prstGeom>
                  </pic:spPr>
                </pic:pic>
              </a:graphicData>
            </a:graphic>
          </wp:inline>
        </w:drawing>
      </w:r>
      <w:r w:rsidRPr="00AA7195">
        <w:rPr>
          <w:rFonts w:ascii="Book Antiqua" w:hAnsi="Book Antiqua" w:cstheme="majorBidi"/>
        </w:rPr>
        <w:tab/>
      </w:r>
      <w:r w:rsidRPr="00AA7195">
        <w:rPr>
          <w:rFonts w:ascii="Book Antiqua" w:hAnsi="Book Antiqua" w:cstheme="majorBidi"/>
        </w:rPr>
        <w:br/>
      </w:r>
      <w:proofErr w:type="gramStart"/>
      <w:r w:rsidRPr="00516DB6">
        <w:rPr>
          <w:rFonts w:asciiTheme="minorHAnsi" w:hAnsiTheme="minorHAnsi" w:cstheme="minorHAnsi"/>
          <w:b/>
          <w:bCs/>
          <w:i/>
          <w:iCs/>
          <w:sz w:val="22"/>
          <w:szCs w:val="22"/>
        </w:rPr>
        <w:t xml:space="preserve">Figure </w:t>
      </w:r>
      <w:r w:rsidR="00CC3004">
        <w:rPr>
          <w:rFonts w:asciiTheme="minorHAnsi" w:hAnsiTheme="minorHAnsi" w:cstheme="minorHAnsi"/>
          <w:b/>
          <w:bCs/>
          <w:i/>
          <w:iCs/>
          <w:sz w:val="22"/>
          <w:szCs w:val="22"/>
        </w:rPr>
        <w:t>6</w:t>
      </w:r>
      <w:r w:rsidRPr="00516DB6">
        <w:rPr>
          <w:rFonts w:asciiTheme="minorHAnsi" w:hAnsiTheme="minorHAnsi" w:cstheme="minorHAnsi"/>
          <w:b/>
          <w:bCs/>
          <w:i/>
          <w:iCs/>
          <w:sz w:val="22"/>
          <w:szCs w:val="22"/>
        </w:rPr>
        <w:t>.</w:t>
      </w:r>
      <w:proofErr w:type="gramEnd"/>
    </w:p>
    <w:p w14:paraId="2562D367" w14:textId="78D5E05C" w:rsidR="00F968F9" w:rsidRPr="00CC3004" w:rsidRDefault="00F968F9" w:rsidP="00CC3004">
      <w:pPr>
        <w:jc w:val="center"/>
        <w:rPr>
          <w:rFonts w:asciiTheme="minorHAnsi" w:hAnsiTheme="minorHAnsi" w:cstheme="minorHAnsi"/>
          <w:i/>
          <w:iCs/>
          <w:sz w:val="22"/>
          <w:szCs w:val="22"/>
        </w:rPr>
      </w:pPr>
      <w:r w:rsidRPr="00931506">
        <w:rPr>
          <w:rFonts w:asciiTheme="minorHAnsi" w:hAnsiTheme="minorHAnsi" w:cstheme="minorHAnsi"/>
          <w:sz w:val="22"/>
          <w:szCs w:val="22"/>
        </w:rPr>
        <w:t>Interview with the</w:t>
      </w:r>
      <w:r>
        <w:rPr>
          <w:rFonts w:asciiTheme="minorHAnsi" w:hAnsiTheme="minorHAnsi" w:cstheme="minorHAnsi"/>
          <w:sz w:val="22"/>
          <w:szCs w:val="22"/>
        </w:rPr>
        <w:t xml:space="preserve"> </w:t>
      </w:r>
      <w:r w:rsidRPr="00931506">
        <w:rPr>
          <w:rFonts w:asciiTheme="minorHAnsi" w:hAnsiTheme="minorHAnsi" w:cstheme="minorHAnsi"/>
          <w:sz w:val="22"/>
          <w:szCs w:val="22"/>
        </w:rPr>
        <w:t>principal</w:t>
      </w:r>
    </w:p>
    <w:p w14:paraId="5B54E46B" w14:textId="77777777" w:rsidR="00F968F9" w:rsidRDefault="00F968F9" w:rsidP="00F968F9">
      <w:pPr>
        <w:jc w:val="both"/>
        <w:rPr>
          <w:rFonts w:ascii="Calibri" w:eastAsia="Calibri" w:hAnsi="Calibri" w:cs="Calibri"/>
          <w:iCs/>
          <w:sz w:val="22"/>
          <w:szCs w:val="22"/>
        </w:rPr>
      </w:pPr>
    </w:p>
    <w:p w14:paraId="62CBBA15" w14:textId="2E564868" w:rsidR="00F968F9" w:rsidRDefault="00F968F9" w:rsidP="00F1781C">
      <w:pPr>
        <w:ind w:firstLine="426"/>
        <w:jc w:val="both"/>
        <w:rPr>
          <w:rFonts w:ascii="Calibri" w:eastAsia="Calibri" w:hAnsi="Calibri" w:cs="Calibri"/>
          <w:sz w:val="22"/>
          <w:szCs w:val="22"/>
        </w:rPr>
      </w:pPr>
      <w:r w:rsidRPr="00516DB6">
        <w:rPr>
          <w:rFonts w:ascii="Calibri" w:eastAsia="Calibri" w:hAnsi="Calibri" w:cs="Calibri"/>
          <w:iCs/>
          <w:sz w:val="22"/>
          <w:szCs w:val="22"/>
        </w:rPr>
        <w:t>Overall, the results of the study indicate that the absence of activities to encourage reading the Qur'an at school has a direct impact on students' low motivation and ability to read the Qur'an. This condition is exacerbated by a lack of family support and limited facilities at home. These findings emphasize the need for joint efforts between schools and families to create better habits of reading the Qur'an among students.</w:t>
      </w:r>
    </w:p>
    <w:p w14:paraId="4D2587E1" w14:textId="77777777" w:rsidR="00EE5178" w:rsidRDefault="00EE5178">
      <w:pPr>
        <w:jc w:val="both"/>
        <w:rPr>
          <w:rFonts w:ascii="Calibri" w:eastAsia="Calibri" w:hAnsi="Calibri" w:cs="Calibri"/>
          <w:i/>
          <w:sz w:val="22"/>
          <w:szCs w:val="22"/>
        </w:rPr>
      </w:pPr>
    </w:p>
    <w:p w14:paraId="33DA977C" w14:textId="77777777" w:rsidR="00EE5178" w:rsidRDefault="00A274B2">
      <w:pPr>
        <w:jc w:val="both"/>
        <w:rPr>
          <w:rFonts w:ascii="Calibri" w:eastAsia="Calibri" w:hAnsi="Calibri" w:cs="Calibri"/>
          <w:i/>
          <w:sz w:val="22"/>
          <w:szCs w:val="22"/>
        </w:rPr>
      </w:pPr>
      <w:r>
        <w:rPr>
          <w:rFonts w:ascii="Calibri" w:eastAsia="Calibri" w:hAnsi="Calibri" w:cs="Calibri"/>
          <w:b/>
          <w:sz w:val="22"/>
          <w:szCs w:val="22"/>
        </w:rPr>
        <w:t>Discussion</w:t>
      </w:r>
    </w:p>
    <w:p w14:paraId="048E59ED" w14:textId="77777777" w:rsidR="003B560C" w:rsidRDefault="003B560C" w:rsidP="003B560C">
      <w:pPr>
        <w:ind w:firstLine="426"/>
        <w:jc w:val="both"/>
        <w:rPr>
          <w:rFonts w:ascii="Calibri" w:eastAsia="Calibri" w:hAnsi="Calibri" w:cs="Calibri"/>
          <w:sz w:val="22"/>
          <w:szCs w:val="22"/>
          <w:lang w:val="en-ID"/>
        </w:rPr>
      </w:pPr>
      <w:r w:rsidRPr="00543550">
        <w:rPr>
          <w:rFonts w:ascii="Calibri" w:eastAsia="Calibri" w:hAnsi="Calibri" w:cs="Calibri"/>
          <w:sz w:val="22"/>
          <w:szCs w:val="22"/>
          <w:lang w:val="en-ID"/>
        </w:rPr>
        <w:t xml:space="preserve">The results of this study indicate that the low ability to read the Qur'an among junior high school students is mainly due to a lack of internal motivation, insufficient family support, an </w:t>
      </w:r>
      <w:r w:rsidRPr="00543550">
        <w:rPr>
          <w:rFonts w:ascii="Calibri" w:eastAsia="Calibri" w:hAnsi="Calibri" w:cs="Calibri"/>
          <w:sz w:val="22"/>
          <w:szCs w:val="22"/>
          <w:lang w:val="en-ID"/>
        </w:rPr>
        <w:lastRenderedPageBreak/>
        <w:t>unsupportive social environment, and limited learning facilities. These findings align with the theory of internal and external factors influencing the ability to read the Quran, where internal factors include motivation, interest, and students' psychological conditions, while external factors encompass family support, social environment, and learning facilities</w:t>
      </w:r>
      <w:r>
        <w:rPr>
          <w:rFonts w:ascii="Calibri" w:eastAsia="Calibri" w:hAnsi="Calibri" w:cs="Calibri"/>
          <w:sz w:val="22"/>
          <w:szCs w:val="22"/>
          <w:lang w:val="en-ID"/>
        </w:rPr>
        <w:t xml:space="preserve"> </w:t>
      </w:r>
      <w:r>
        <w:rPr>
          <w:rFonts w:ascii="Calibri" w:eastAsia="Calibri" w:hAnsi="Calibri" w:cs="Calibri"/>
          <w:sz w:val="22"/>
          <w:szCs w:val="22"/>
          <w:lang w:val="en-ID"/>
        </w:rPr>
        <w:fldChar w:fldCharType="begin" w:fldLock="1"/>
      </w:r>
      <w:r>
        <w:rPr>
          <w:rFonts w:ascii="Calibri" w:eastAsia="Calibri" w:hAnsi="Calibri" w:cs="Calibri"/>
          <w:sz w:val="22"/>
          <w:szCs w:val="22"/>
          <w:lang w:val="en-ID"/>
        </w:rPr>
        <w:instrText>ADDIN CSL_CITATION {"citationItems":[{"id":"ITEM-1","itemData":{"DOI":"https://bitarajournal.com/index.php/bitarajournal/article/view/415","abstract":"This study pertains to the mastery levels of Quranic Tajweed knowledge among students in public higher education institutions (IPTAs). The study aims to identify the extent of proficiency in reading the Quran among IPTA students, observe differences in Quranic reading proficiency based on demographic factors, and identify the contributing factors to students' Quranic reading ability. The study respondents consist of 121 IPTA students from Universiti Teknologi Mara (UiTM), Universiti Teknologi Malaysia (UTM), and Universiti Sains Islam Malaysia (USIM). This research employs a questionnaire to collect study data, and quantitative data is analyzed using percentages, frequencies, means, and standard deviations based on Statistical Package for the Social Sciences (SPSS) version 20.0. The study findings indicate that students' abilities are moderate in terms of basic Quranic recitation aspects, and specific aspects still pose challenges for many students, such as mastering knowledge of melodies, melodious recitation, understanding the rules of Tajweed, and reciting with Tajweed. The study also finds that variations in Quranic reading proficiency exist based on gender, highest education level, field of study, and place of education. The research also identifies several factors contributing to students' mastery of Tajweed knowledge and Quranic reading. To ensure that students can achieve the best possible mastery of Tajweed knowledge, the researcher has suggested several steps that could be taken into consideration by the Ministry of Education Malaysia (MOE), school administrations, teachers, and parents.","author":[{"dropping-particle":"","family":"Fathullah Faris","given":"Ahmad","non-dropping-particle":"","parse-names":false,"suffix":""},{"dropping-particle":"","family":"Nur Hadis Rahman","given":"Siti A","non-dropping-particle":"","parse-names":false,"suffix":""},{"dropping-particle":"","family":"Talhah Jima","given":"Muhammad","non-dropping-particle":"","parse-names":false,"suffix":""},{"dropping-particle":"","family":"Sobri Faisal","given":"Muhammad","non-dropping-particle":"","parse-names":false,"suffix":""},{"dropping-particle":"","family":"Raehan Mustafa","given":"Radhiahtul","non-dropping-particle":"","parse-names":false,"suffix":""}],"container-title":"BITARA International Journal of Civilizational Studies and Human Sciences","id":"ITEM-1","issue":"4","issued":{"date-parts":[["2023"]]},"page":"127-138","title":"Quranic Reading Proficiency and Factors Affecting Mastery Quran among Public University Students","type":"article-journal","volume":"6"},"uris":["http://www.mendeley.com/documents/?uuid=34fe9f54-44bd-4b1f-9555-c75efa70c32c"]}],"mendeley":{"formattedCitation":"(Fathullah Faris et al., 2023)","manualFormatting":"(Fathullah Faris et al., 2023;","plainTextFormattedCitation":"(Fathullah Faris et al., 2023)","previouslyFormattedCitation":"(Fathullah Faris et al., 2023)"},"properties":{"noteIndex":0},"schema":"https://github.com/citation-style-language/schema/raw/master/csl-citation.json"}</w:instrText>
      </w:r>
      <w:r>
        <w:rPr>
          <w:rFonts w:ascii="Calibri" w:eastAsia="Calibri" w:hAnsi="Calibri" w:cs="Calibri"/>
          <w:sz w:val="22"/>
          <w:szCs w:val="22"/>
          <w:lang w:val="en-ID"/>
        </w:rPr>
        <w:fldChar w:fldCharType="separate"/>
      </w:r>
      <w:r w:rsidRPr="00CA7FB2">
        <w:rPr>
          <w:rFonts w:ascii="Calibri" w:eastAsia="Calibri" w:hAnsi="Calibri" w:cs="Calibri"/>
          <w:noProof/>
          <w:sz w:val="22"/>
          <w:szCs w:val="22"/>
          <w:lang w:val="en-ID"/>
        </w:rPr>
        <w:t>(Fathullah Faris et al., 2023</w:t>
      </w:r>
      <w:r>
        <w:rPr>
          <w:rFonts w:ascii="Calibri" w:eastAsia="Calibri" w:hAnsi="Calibri" w:cs="Calibri"/>
          <w:noProof/>
          <w:sz w:val="22"/>
          <w:szCs w:val="22"/>
          <w:lang w:val="en-ID"/>
        </w:rPr>
        <w:t>;</w:t>
      </w:r>
      <w:r>
        <w:rPr>
          <w:rFonts w:ascii="Calibri" w:eastAsia="Calibri" w:hAnsi="Calibri" w:cs="Calibri"/>
          <w:sz w:val="22"/>
          <w:szCs w:val="22"/>
          <w:lang w:val="en-ID"/>
        </w:rPr>
        <w:fldChar w:fldCharType="end"/>
      </w:r>
      <w:r>
        <w:rPr>
          <w:rFonts w:ascii="Calibri" w:eastAsia="Calibri" w:hAnsi="Calibri" w:cs="Calibri"/>
          <w:sz w:val="22"/>
          <w:szCs w:val="22"/>
          <w:lang w:val="en-ID"/>
        </w:rPr>
        <w:t xml:space="preserve"> </w:t>
      </w:r>
      <w:r>
        <w:rPr>
          <w:rFonts w:ascii="Calibri" w:eastAsia="Calibri" w:hAnsi="Calibri" w:cs="Calibri"/>
          <w:sz w:val="22"/>
          <w:szCs w:val="22"/>
          <w:lang w:val="en-ID"/>
        </w:rPr>
        <w:fldChar w:fldCharType="begin" w:fldLock="1"/>
      </w:r>
      <w:r>
        <w:rPr>
          <w:rFonts w:ascii="Calibri" w:eastAsia="Calibri" w:hAnsi="Calibri" w:cs="Calibri"/>
          <w:sz w:val="22"/>
          <w:szCs w:val="22"/>
          <w:lang w:val="en-ID"/>
        </w:rPr>
        <w:instrText>ADDIN CSL_CITATION {"citationItems":[{"id":"ITEM-1","itemData":{"DOI":"10.35723/ajie.v5i1.161","ISSN":"2657-1781","abstract":"This article sought to explore the student motivation in memorizing the Quran. A qualitative study through semi-structured interviews with six participants was done to gain data for this study. The findings showed that parents, teachers and the participants themselves influenced student motivation in memorising the Quran. The role of parental guidance and advice was the most influential factor leading to cause among students in learning the Quran. Implications of this study, the students themselves and teachers also were the source of motivation to memorize. At the same time, teachers should always assist and help students in their memorization of the Quran. That way, students will feel more confident to continue their memorization. Therefore, this study can be helpful as a reference in lowering the gap in motivation in Quranic memorization. Hence, the researchers believe that this study will help the other researchers continue and elaborate more on Quranic memorization about the cause.","author":[{"dropping-particle":"","family":"Abdullah","given":"Nik Md Saiful Azizi Nik","non-dropping-particle":"","parse-names":false,"suffix":""},{"dropping-particle":"","family":"Sabbri","given":"Fathiyah Solehah Mohd","non-dropping-particle":"","parse-names":false,"suffix":""},{"dropping-particle":"","family":"Isa","given":"Rabi'atul Athirah Muhammad","non-dropping-particle":"","parse-names":false,"suffix":""}],"container-title":"Al-Hayat: Journal of Islamic Education","id":"ITEM-1","issue":"1","issued":{"date-parts":[["2021"]]},"page":"100","title":"Exploring Student Motivation in Quranic Memorization in Selected Islamic Secondary Schools (a Case Study)","type":"article-journal","volume":"5"},"uris":["http://www.mendeley.com/documents/?uuid=ae6335eb-5e6f-4bb6-a2fd-82cbeb218fd5"]}],"mendeley":{"formattedCitation":"(Abdullah et al., 2021)","manualFormatting":"Abdullah et al., 2021;","plainTextFormattedCitation":"(Abdullah et al., 2021)","previouslyFormattedCitation":"(Abdullah et al., 2021)"},"properties":{"noteIndex":0},"schema":"https://github.com/citation-style-language/schema/raw/master/csl-citation.json"}</w:instrText>
      </w:r>
      <w:r>
        <w:rPr>
          <w:rFonts w:ascii="Calibri" w:eastAsia="Calibri" w:hAnsi="Calibri" w:cs="Calibri"/>
          <w:sz w:val="22"/>
          <w:szCs w:val="22"/>
          <w:lang w:val="en-ID"/>
        </w:rPr>
        <w:fldChar w:fldCharType="separate"/>
      </w:r>
      <w:r w:rsidRPr="00CA7FB2">
        <w:rPr>
          <w:rFonts w:ascii="Calibri" w:eastAsia="Calibri" w:hAnsi="Calibri" w:cs="Calibri"/>
          <w:noProof/>
          <w:sz w:val="22"/>
          <w:szCs w:val="22"/>
          <w:lang w:val="en-ID"/>
        </w:rPr>
        <w:t>Abdullah et al., 2021</w:t>
      </w:r>
      <w:r>
        <w:rPr>
          <w:rFonts w:ascii="Calibri" w:eastAsia="Calibri" w:hAnsi="Calibri" w:cs="Calibri"/>
          <w:noProof/>
          <w:sz w:val="22"/>
          <w:szCs w:val="22"/>
          <w:lang w:val="en-ID"/>
        </w:rPr>
        <w:t>;</w:t>
      </w:r>
      <w:r>
        <w:rPr>
          <w:rFonts w:ascii="Calibri" w:eastAsia="Calibri" w:hAnsi="Calibri" w:cs="Calibri"/>
          <w:sz w:val="22"/>
          <w:szCs w:val="22"/>
          <w:lang w:val="en-ID"/>
        </w:rPr>
        <w:fldChar w:fldCharType="end"/>
      </w:r>
      <w:r>
        <w:rPr>
          <w:rFonts w:ascii="Calibri" w:eastAsia="Calibri" w:hAnsi="Calibri" w:cs="Calibri"/>
          <w:sz w:val="22"/>
          <w:szCs w:val="22"/>
          <w:lang w:val="en-ID"/>
        </w:rPr>
        <w:t xml:space="preserve"> </w:t>
      </w:r>
      <w:r>
        <w:rPr>
          <w:rStyle w:val="FootnoteReference"/>
          <w:rFonts w:ascii="Calibri" w:eastAsia="Calibri" w:hAnsi="Calibri" w:cs="Calibri"/>
          <w:sz w:val="22"/>
          <w:szCs w:val="22"/>
          <w:lang w:val="en-ID"/>
        </w:rPr>
        <w:fldChar w:fldCharType="begin" w:fldLock="1"/>
      </w:r>
      <w:r>
        <w:rPr>
          <w:rFonts w:ascii="Calibri" w:eastAsia="Calibri" w:hAnsi="Calibri" w:cs="Calibri"/>
          <w:sz w:val="22"/>
          <w:szCs w:val="22"/>
          <w:lang w:val="en-ID"/>
        </w:rPr>
        <w:instrText>ADDIN CSL_CITATION {"citationItems":[{"id":"ITEM-1","itemData":{"DOI":"10.26555/jecce.v5i1.5974","abstract":"No children can develop without the support of the family. Family support is one of the contributing factors to children's success. This study aims to illustrate family support for young Ḥāfiẓ al-Qur’ān . This research is descriptive qualitative research. The research subjects are five children, Ḥāfiẓ al-Qur’ān since they were seven years old, their teachers, and their parents. Data collection was done through interviews and observation, followed by an analysis using the interactive model by Miles, Huberman, and Saldana. The research findings show that family support for young Ḥāfiẓ al-Qur’ān includes emotional support, appreciation, instrumental support, information, and spiritual support. Future studies should focus on the parents' spiritual support for children's success, as it requires more theoretical studies. This research is expected to inspire and motivate parents to accompany their children, especially in memorizing the Qur'an.","author":[{"dropping-particle":"","family":"Muthmainah","given":"Muthmainah","non-dropping-particle":"","parse-names":false,"suffix":""},{"dropping-particle":"","family":"Usman","given":"Abur Hamdi","non-dropping-particle":"","parse-names":false,"suffix":""}],"container-title":"Journal of Early Childhood Care and Education","id":"ITEM-1","issue":"1","issued":{"date-parts":[["2022"]]},"page":"27-44","title":"Family support for young Ḥāfiẓ Al-Qur’ān","type":"article-journal","volume":"5"},"uris":["http://www.mendeley.com/documents/?uuid=66d2ed25-6788-4be6-bfbd-042aa0707053"]}],"mendeley":{"formattedCitation":"(Muthmainah &amp; Usman, 2022)","manualFormatting":"Muthmainah &amp; Usman, 2022;","plainTextFormattedCitation":"(Muthmainah &amp; Usman, 2022)","previouslyFormattedCitation":"(Muthmainah &amp; Usman, 2022)"},"properties":{"noteIndex":0},"schema":"https://github.com/citation-style-language/schema/raw/master/csl-citation.json"}</w:instrText>
      </w:r>
      <w:r>
        <w:rPr>
          <w:rStyle w:val="FootnoteReference"/>
          <w:rFonts w:ascii="Calibri" w:eastAsia="Calibri" w:hAnsi="Calibri" w:cs="Calibri"/>
          <w:sz w:val="22"/>
          <w:szCs w:val="22"/>
          <w:lang w:val="en-ID"/>
        </w:rPr>
        <w:fldChar w:fldCharType="separate"/>
      </w:r>
      <w:r w:rsidRPr="007B3088">
        <w:rPr>
          <w:rFonts w:ascii="Calibri" w:eastAsia="Calibri" w:hAnsi="Calibri" w:cs="Calibri"/>
          <w:noProof/>
          <w:sz w:val="22"/>
          <w:szCs w:val="22"/>
          <w:lang w:val="en-ID"/>
        </w:rPr>
        <w:t>Muthmainah &amp; Usman, 2022</w:t>
      </w:r>
      <w:r>
        <w:rPr>
          <w:rFonts w:ascii="Calibri" w:eastAsia="Calibri" w:hAnsi="Calibri" w:cs="Calibri"/>
          <w:noProof/>
          <w:sz w:val="22"/>
          <w:szCs w:val="22"/>
          <w:lang w:val="en-ID"/>
        </w:rPr>
        <w:t>;</w:t>
      </w:r>
      <w:r>
        <w:rPr>
          <w:rStyle w:val="FootnoteReference"/>
          <w:rFonts w:ascii="Calibri" w:eastAsia="Calibri" w:hAnsi="Calibri" w:cs="Calibri"/>
          <w:sz w:val="22"/>
          <w:szCs w:val="22"/>
          <w:lang w:val="en-ID"/>
        </w:rPr>
        <w:fldChar w:fldCharType="end"/>
      </w:r>
      <w:r>
        <w:rPr>
          <w:rFonts w:ascii="Calibri" w:eastAsia="Calibri" w:hAnsi="Calibri" w:cs="Calibri"/>
          <w:sz w:val="22"/>
          <w:szCs w:val="22"/>
          <w:lang w:val="en-ID"/>
        </w:rPr>
        <w:t xml:space="preserve"> </w:t>
      </w:r>
      <w:r>
        <w:rPr>
          <w:rFonts w:ascii="Calibri" w:eastAsia="Calibri" w:hAnsi="Calibri" w:cs="Calibri"/>
          <w:sz w:val="22"/>
          <w:szCs w:val="22"/>
          <w:lang w:val="en-ID"/>
        </w:rPr>
        <w:fldChar w:fldCharType="begin" w:fldLock="1"/>
      </w:r>
      <w:r>
        <w:rPr>
          <w:rFonts w:ascii="Calibri" w:eastAsia="Calibri" w:hAnsi="Calibri" w:cs="Calibri"/>
          <w:sz w:val="22"/>
          <w:szCs w:val="22"/>
          <w:lang w:val="en-ID"/>
        </w:rPr>
        <w:instrText>ADDIN CSL_CITATION {"citationItems":[{"id":"ITEM-1","itemData":{"DOI":"10.31603/tarbiyatuna.v12i2.4996","ISSN":"2086-0889","abstract":"The motivation of learners to learn the Qur'an in this day and age is very low, learners at the time to learn the Qur'an choose television activities, play games and others, therefore motivation from parents is needed to minimize the activities of learners who are less useful. Previous studies show that external factors affect Islamic children's development and ability to read the Quran. Therefore, this study aimed to determine how parenting techniques and motivation influence children's ability to read the Quran. A quantitative approach with a sample population of 100 persons was used, while data was collected through questionnaires and examining the existing documents. The results showed that 1) Islamic parenting has a 78% contribution to the children's ability to read the Quran, 2) the motivation by parents affect the children's ability by 1.5%, 3) the combination of parent motivation and parenting techniques accounts for 79.5% of the effect, and 4) parenting style and motivation from parents simultaneously influence children's ability. Based on the description of existing data it can be concluded that parents have a fundamental role in providing motivation for learners to learn the Qur'an.","author":[{"dropping-particle":"","family":"Elvina","given":"Elvina","non-dropping-particle":"","parse-names":false,"suffix":""},{"dropping-particle":"","family":"Ritonga","given":"Mahyudin","non-dropping-particle":"","parse-names":false,"suffix":""},{"dropping-particle":"","family":"Lahmi","given":"Ahmad","non-dropping-particle":"","parse-names":false,"suffix":""}],"container-title":"Jurnal Tarbiyatuna","id":"ITEM-1","issue":"2","issued":{"date-parts":[["2021"]]},"page":"121-134","title":"Islamic Parenting and Motivation from Parents and Its Influence on Children's Ability to Read the Quran","type":"article-journal","volume":"12"},"uris":["http://www.mendeley.com/documents/?uuid=0b7daa45-afcd-4288-bef7-20ed56a34eca"]}],"mendeley":{"formattedCitation":"(Elvina et al., 2021)","manualFormatting":"Elvina et al., 2021;","plainTextFormattedCitation":"(Elvina et al., 2021)","previouslyFormattedCitation":"(Elvina et al., 2021)"},"properties":{"noteIndex":0},"schema":"https://github.com/citation-style-language/schema/raw/master/csl-citation.json"}</w:instrText>
      </w:r>
      <w:r>
        <w:rPr>
          <w:rFonts w:ascii="Calibri" w:eastAsia="Calibri" w:hAnsi="Calibri" w:cs="Calibri"/>
          <w:sz w:val="22"/>
          <w:szCs w:val="22"/>
          <w:lang w:val="en-ID"/>
        </w:rPr>
        <w:fldChar w:fldCharType="separate"/>
      </w:r>
      <w:r w:rsidRPr="007B3088">
        <w:rPr>
          <w:rFonts w:ascii="Calibri" w:eastAsia="Calibri" w:hAnsi="Calibri" w:cs="Calibri"/>
          <w:noProof/>
          <w:sz w:val="22"/>
          <w:szCs w:val="22"/>
          <w:lang w:val="en-ID"/>
        </w:rPr>
        <w:t>Elvina et al., 2021</w:t>
      </w:r>
      <w:r>
        <w:rPr>
          <w:rFonts w:ascii="Calibri" w:eastAsia="Calibri" w:hAnsi="Calibri" w:cs="Calibri"/>
          <w:noProof/>
          <w:sz w:val="22"/>
          <w:szCs w:val="22"/>
          <w:lang w:val="en-ID"/>
        </w:rPr>
        <w:t>;</w:t>
      </w:r>
      <w:r>
        <w:rPr>
          <w:rFonts w:ascii="Calibri" w:eastAsia="Calibri" w:hAnsi="Calibri" w:cs="Calibri"/>
          <w:sz w:val="22"/>
          <w:szCs w:val="22"/>
          <w:lang w:val="en-ID"/>
        </w:rPr>
        <w:fldChar w:fldCharType="end"/>
      </w:r>
      <w:r>
        <w:rPr>
          <w:rFonts w:ascii="Calibri" w:eastAsia="Calibri" w:hAnsi="Calibri" w:cs="Calibri"/>
          <w:sz w:val="22"/>
          <w:szCs w:val="22"/>
          <w:lang w:val="en-ID"/>
        </w:rPr>
        <w:t xml:space="preserve"> </w:t>
      </w:r>
      <w:r>
        <w:rPr>
          <w:rFonts w:ascii="Calibri" w:eastAsia="Calibri" w:hAnsi="Calibri" w:cs="Calibri"/>
          <w:sz w:val="22"/>
          <w:szCs w:val="22"/>
          <w:lang w:val="en-ID"/>
        </w:rPr>
        <w:fldChar w:fldCharType="begin" w:fldLock="1"/>
      </w:r>
      <w:r>
        <w:rPr>
          <w:rFonts w:ascii="Calibri" w:eastAsia="Calibri" w:hAnsi="Calibri" w:cs="Calibri"/>
          <w:sz w:val="22"/>
          <w:szCs w:val="22"/>
          <w:lang w:val="en-ID"/>
        </w:rPr>
        <w:instrText>ADDIN CSL_CITATION {"citationItems":[{"id":"ITEM-1","itemData":{"DOI":"10.22373/jm.v13i2.22103","ISSN":"2089-5127","abstract":"This study delves into the complex dynamics of Quranic recitation proficiency among students in the Islamic Educational Teacher Training Department at State Islamic University Ar-Raniry, Banda Aceh. Through surveys, interviews, and discussions, the research explores motivational factors, challenges faced, and the relationship between teaching methods and proficiency, and proposes strategies for enhancement. The findings emphasize the importance of understanding intrinsic and extrinsic motivations, addressing challenges hindering proficiency, and adopting interactive and culturally sensitive teaching methods. By integrating personalized learning approaches, teacher training programs, and community engagement initiatives, this study provides valuable insights for optimizing Quranic education, fostering motivation, and nurturing a deep connection with religious heritage.","author":[{"dropping-particle":"","family":"Munzir","given":"Munzir","non-dropping-particle":"","parse-names":false,"suffix":""}],"container-title":"Jurnal Mudarrisuna: Media Kajian Pendidikan Agama Islam","id":"ITEM-1","issue":"2","issued":{"date-parts":[["2023"]]},"page":"262","title":"Motivational Influences and Challenges in Quranic Recitation Proficiency: A Study Among Islamic Educational Teacher Training Department State Islamic University Ar-Raniry Banda Aceh Students","type":"article-journal","volume":"13"},"uris":["http://www.mendeley.com/documents/?uuid=8978ef2c-783b-4c9a-a34f-59e788472d4d"]}],"mendeley":{"formattedCitation":"(Munzir, 2023)","manualFormatting":"Munzir, 2023)","plainTextFormattedCitation":"(Munzir, 2023)","previouslyFormattedCitation":"(Munzir, 2023)"},"properties":{"noteIndex":0},"schema":"https://github.com/citation-style-language/schema/raw/master/csl-citation.json"}</w:instrText>
      </w:r>
      <w:r>
        <w:rPr>
          <w:rFonts w:ascii="Calibri" w:eastAsia="Calibri" w:hAnsi="Calibri" w:cs="Calibri"/>
          <w:sz w:val="22"/>
          <w:szCs w:val="22"/>
          <w:lang w:val="en-ID"/>
        </w:rPr>
        <w:fldChar w:fldCharType="separate"/>
      </w:r>
      <w:r w:rsidRPr="00843EE7">
        <w:rPr>
          <w:rFonts w:ascii="Calibri" w:eastAsia="Calibri" w:hAnsi="Calibri" w:cs="Calibri"/>
          <w:noProof/>
          <w:sz w:val="22"/>
          <w:szCs w:val="22"/>
          <w:lang w:val="en-ID"/>
        </w:rPr>
        <w:t>Munzir, 2023)</w:t>
      </w:r>
      <w:r>
        <w:rPr>
          <w:rFonts w:ascii="Calibri" w:eastAsia="Calibri" w:hAnsi="Calibri" w:cs="Calibri"/>
          <w:sz w:val="22"/>
          <w:szCs w:val="22"/>
          <w:lang w:val="en-ID"/>
        </w:rPr>
        <w:fldChar w:fldCharType="end"/>
      </w:r>
    </w:p>
    <w:p w14:paraId="37A5856D" w14:textId="64354259" w:rsidR="003B560C" w:rsidRDefault="003B560C" w:rsidP="003B560C">
      <w:pPr>
        <w:ind w:firstLine="426"/>
        <w:jc w:val="both"/>
        <w:rPr>
          <w:rFonts w:ascii="Calibri" w:eastAsia="Calibri" w:hAnsi="Calibri" w:cs="Calibri"/>
          <w:sz w:val="22"/>
          <w:szCs w:val="22"/>
          <w:lang w:val="en-ID"/>
        </w:rPr>
      </w:pPr>
      <w:r w:rsidRPr="00843EE7">
        <w:rPr>
          <w:rFonts w:ascii="Calibri" w:eastAsia="Calibri" w:hAnsi="Calibri" w:cs="Calibri"/>
          <w:sz w:val="22"/>
          <w:szCs w:val="22"/>
          <w:lang w:val="en-ID"/>
        </w:rPr>
        <w:t xml:space="preserve">Learning motivation has been proven to be one of the key factors. Research by </w:t>
      </w:r>
      <w:r>
        <w:rPr>
          <w:rFonts w:ascii="Calibri" w:eastAsia="Calibri" w:hAnsi="Calibri" w:cs="Calibri"/>
          <w:sz w:val="22"/>
          <w:szCs w:val="22"/>
          <w:lang w:val="en-ID"/>
        </w:rPr>
        <w:fldChar w:fldCharType="begin" w:fldLock="1"/>
      </w:r>
      <w:r>
        <w:rPr>
          <w:rFonts w:ascii="Calibri" w:eastAsia="Calibri" w:hAnsi="Calibri" w:cs="Calibri"/>
          <w:sz w:val="22"/>
          <w:szCs w:val="22"/>
          <w:lang w:val="en-ID"/>
        </w:rPr>
        <w:instrText>ADDIN CSL_CITATION {"citationItems":[{"id":"ITEM-1","itemData":{"DOI":"https://doi.org/10.31004/joe.v6i4.6413","author":[{"dropping-particle":"","family":"Kahfi","given":"Nazih Sadatul","non-dropping-particle":"","parse-names":false,"suffix":""},{"dropping-particle":"","family":"Raharjo","given":"Raharjo","non-dropping-particle":"","parse-names":false,"suffix":""},{"dropping-particle":"","family":"Ikhrom","given":"Ikhrom","non-dropping-particle":"","parse-names":false,"suffix":""}],"container-title":"Journal on Education","id":"ITEM-1","issue":"4","issued":{"date-parts":[["2024"]]},"page":"22416-22423","title":"The Effect of Qiroati and Non Qiroati Methods in Improving Students ' Ability to Read and Write the Qur ' an at TPQ Al-Ikhlas","type":"article-journal","volume":"6"},"uris":["http://www.mendeley.com/documents/?uuid=5fe7e3c2-c6c1-451d-8c1d-295a56c38d38"]}],"mendeley":{"formattedCitation":"(Kahfi et al., 2024)","manualFormatting":"Kahfi et al. (2024)","plainTextFormattedCitation":"(Kahfi et al., 2024)","previouslyFormattedCitation":"(Kahfi et al., 2024)"},"properties":{"noteIndex":0},"schema":"https://github.com/citation-style-language/schema/raw/master/csl-citation.json"}</w:instrText>
      </w:r>
      <w:r>
        <w:rPr>
          <w:rFonts w:ascii="Calibri" w:eastAsia="Calibri" w:hAnsi="Calibri" w:cs="Calibri"/>
          <w:sz w:val="22"/>
          <w:szCs w:val="22"/>
          <w:lang w:val="en-ID"/>
        </w:rPr>
        <w:fldChar w:fldCharType="separate"/>
      </w:r>
      <w:r w:rsidRPr="00843EE7">
        <w:rPr>
          <w:rFonts w:ascii="Calibri" w:eastAsia="Calibri" w:hAnsi="Calibri" w:cs="Calibri"/>
          <w:noProof/>
          <w:sz w:val="22"/>
          <w:szCs w:val="22"/>
          <w:lang w:val="en-ID"/>
        </w:rPr>
        <w:t xml:space="preserve">Kahfi et al. </w:t>
      </w:r>
      <w:r>
        <w:rPr>
          <w:rFonts w:ascii="Calibri" w:eastAsia="Calibri" w:hAnsi="Calibri" w:cs="Calibri"/>
          <w:noProof/>
          <w:sz w:val="22"/>
          <w:szCs w:val="22"/>
          <w:lang w:val="en-ID"/>
        </w:rPr>
        <w:t>(</w:t>
      </w:r>
      <w:r w:rsidRPr="00843EE7">
        <w:rPr>
          <w:rFonts w:ascii="Calibri" w:eastAsia="Calibri" w:hAnsi="Calibri" w:cs="Calibri"/>
          <w:noProof/>
          <w:sz w:val="22"/>
          <w:szCs w:val="22"/>
          <w:lang w:val="en-ID"/>
        </w:rPr>
        <w:t>2024)</w:t>
      </w:r>
      <w:r>
        <w:rPr>
          <w:rFonts w:ascii="Calibri" w:eastAsia="Calibri" w:hAnsi="Calibri" w:cs="Calibri"/>
          <w:sz w:val="22"/>
          <w:szCs w:val="22"/>
          <w:lang w:val="en-ID"/>
        </w:rPr>
        <w:fldChar w:fldCharType="end"/>
      </w:r>
      <w:r w:rsidRPr="0076111D">
        <w:rPr>
          <w:rFonts w:ascii="Calibri" w:eastAsia="Calibri" w:hAnsi="Calibri" w:cs="Calibri"/>
          <w:sz w:val="22"/>
          <w:szCs w:val="22"/>
          <w:lang w:val="en-ID"/>
        </w:rPr>
        <w:t xml:space="preserve"> emphasizes that learning motivation does indeed have a significant effect on the ability to read the Qur'an, but its contribution is still low. Therefore, support from families and schools is essential so that students practice reading the Qur'an more often, thereby improving their mastery of tajwid and fluency in reading</w:t>
      </w:r>
      <w:r>
        <w:rPr>
          <w:rFonts w:ascii="Calibri" w:eastAsia="Calibri" w:hAnsi="Calibri" w:cs="Calibri"/>
          <w:sz w:val="22"/>
          <w:szCs w:val="22"/>
          <w:lang w:val="en-ID"/>
        </w:rPr>
        <w:t xml:space="preserve"> s</w:t>
      </w:r>
      <w:r w:rsidRPr="0076111D">
        <w:rPr>
          <w:rFonts w:ascii="Calibri" w:eastAsia="Calibri" w:hAnsi="Calibri" w:cs="Calibri"/>
          <w:sz w:val="22"/>
          <w:szCs w:val="22"/>
          <w:lang w:val="en-ID"/>
        </w:rPr>
        <w:t>tudents with low motivation tend to practice infrequently and have poor reading skills.</w:t>
      </w:r>
      <w:r>
        <w:rPr>
          <w:rFonts w:ascii="Calibri" w:eastAsia="Calibri" w:hAnsi="Calibri" w:cs="Calibri"/>
          <w:sz w:val="22"/>
          <w:szCs w:val="22"/>
          <w:lang w:val="en-ID"/>
        </w:rPr>
        <w:t xml:space="preserve"> </w:t>
      </w:r>
      <w:r w:rsidRPr="002237A4">
        <w:rPr>
          <w:rFonts w:ascii="Calibri" w:eastAsia="Calibri" w:hAnsi="Calibri" w:cs="Calibri"/>
          <w:sz w:val="22"/>
          <w:szCs w:val="22"/>
          <w:lang w:val="en-ID"/>
        </w:rPr>
        <w:t xml:space="preserve">In addition to the above research, </w:t>
      </w:r>
      <w:r>
        <w:rPr>
          <w:rFonts w:ascii="Calibri" w:eastAsia="Calibri" w:hAnsi="Calibri" w:cs="Calibri"/>
          <w:sz w:val="22"/>
          <w:szCs w:val="22"/>
          <w:lang w:val="en-ID"/>
        </w:rPr>
        <w:fldChar w:fldCharType="begin" w:fldLock="1"/>
      </w:r>
      <w:r>
        <w:rPr>
          <w:rFonts w:ascii="Calibri" w:eastAsia="Calibri" w:hAnsi="Calibri" w:cs="Calibri"/>
          <w:sz w:val="22"/>
          <w:szCs w:val="22"/>
          <w:lang w:val="en-ID"/>
        </w:rPr>
        <w:instrText>ADDIN CSL_CITATION {"citationItems":[{"id":"ITEM-1","itemData":{"DOI":"https://doi.org/10.53802/fitrah.v6i1.1135","author":[{"dropping-particle":"","family":"Tazkirah","given":"Siti","non-dropping-particle":"","parse-names":false,"suffix":""},{"dropping-particle":"","family":"Ilham","given":"Ilham","non-dropping-particle":"","parse-names":false,"suffix":""},{"dropping-particle":"","family":"Nasaruddin","given":"Nasaruddin","non-dropping-particle":"","parse-names":false,"suffix":""}],"container-title":"Fitrah: Journal of Islamic Education","id":"ITEM-1","issue":"1","issued":{"date-parts":[["2025"]]},"page":"35-48","title":"STRATEGY FOR DEVELOPING TEACHER COMPETENCE IN QUR ' ANIC EDUCATION GARDEN IN THE MODERN ERA : Analysis of Understanding of Tajweed At-Tadzkir Teaching Content","type":"article-journal","volume":"6"},"uris":["http://www.mendeley.com/documents/?uuid=958ebd49-40cb-4a2f-ae86-c91214bccf86"]}],"mendeley":{"formattedCitation":"(Tazkirah et al., 2025)","manualFormatting":"Tazkirah et al. (2025)","plainTextFormattedCitation":"(Tazkirah et al., 2025)","previouslyFormattedCitation":"(Tazkirah et al., 2025)"},"properties":{"noteIndex":0},"schema":"https://github.com/citation-style-language/schema/raw/master/csl-citation.json"}</w:instrText>
      </w:r>
      <w:r>
        <w:rPr>
          <w:rFonts w:ascii="Calibri" w:eastAsia="Calibri" w:hAnsi="Calibri" w:cs="Calibri"/>
          <w:sz w:val="22"/>
          <w:szCs w:val="22"/>
          <w:lang w:val="en-ID"/>
        </w:rPr>
        <w:fldChar w:fldCharType="separate"/>
      </w:r>
      <w:r w:rsidRPr="005C5BFE">
        <w:rPr>
          <w:rFonts w:ascii="Calibri" w:eastAsia="Calibri" w:hAnsi="Calibri" w:cs="Calibri"/>
          <w:noProof/>
          <w:sz w:val="22"/>
          <w:szCs w:val="22"/>
          <w:lang w:val="en-ID"/>
        </w:rPr>
        <w:t xml:space="preserve">Tazkirah et al. </w:t>
      </w:r>
      <w:r>
        <w:rPr>
          <w:rFonts w:ascii="Calibri" w:eastAsia="Calibri" w:hAnsi="Calibri" w:cs="Calibri"/>
          <w:noProof/>
          <w:sz w:val="22"/>
          <w:szCs w:val="22"/>
          <w:lang w:val="en-ID"/>
        </w:rPr>
        <w:t>(</w:t>
      </w:r>
      <w:r w:rsidRPr="005C5BFE">
        <w:rPr>
          <w:rFonts w:ascii="Calibri" w:eastAsia="Calibri" w:hAnsi="Calibri" w:cs="Calibri"/>
          <w:noProof/>
          <w:sz w:val="22"/>
          <w:szCs w:val="22"/>
          <w:lang w:val="en-ID"/>
        </w:rPr>
        <w:t>2025)</w:t>
      </w:r>
      <w:r>
        <w:rPr>
          <w:rFonts w:ascii="Calibri" w:eastAsia="Calibri" w:hAnsi="Calibri" w:cs="Calibri"/>
          <w:sz w:val="22"/>
          <w:szCs w:val="22"/>
          <w:lang w:val="en-ID"/>
        </w:rPr>
        <w:fldChar w:fldCharType="end"/>
      </w:r>
      <w:r>
        <w:rPr>
          <w:rFonts w:ascii="Calibri" w:eastAsia="Calibri" w:hAnsi="Calibri" w:cs="Calibri"/>
          <w:sz w:val="22"/>
          <w:szCs w:val="22"/>
          <w:lang w:val="en-ID"/>
        </w:rPr>
        <w:t xml:space="preserve"> </w:t>
      </w:r>
      <w:r w:rsidRPr="005C5BFE">
        <w:rPr>
          <w:rFonts w:ascii="Calibri" w:eastAsia="Calibri" w:hAnsi="Calibri" w:cs="Calibri"/>
          <w:sz w:val="22"/>
          <w:szCs w:val="22"/>
          <w:lang w:val="en-ID"/>
        </w:rPr>
        <w:t>In his research, he argues that teachers' competence in understanding and teaching tajwid does indeed have a significant influence on the quality of Al-Qur'an education, but its contribution is still limited without adequate support. Therefore, institutional support, structured training, and adequate learning resources are crucial for teachers to continuously improve their tajwid skills and teaching strategies, thereby enhancing students' mastery of tajwid and overall Quran reading ability. Teachers with limited competencies and support often face challenges in delivering effective tajwid instruction, which can hinder students' learning outcomes.</w:t>
      </w:r>
    </w:p>
    <w:p w14:paraId="68C9BB01" w14:textId="744709A7" w:rsidR="003B560C" w:rsidRDefault="003B560C" w:rsidP="003B560C">
      <w:pPr>
        <w:ind w:firstLine="426"/>
        <w:jc w:val="both"/>
        <w:rPr>
          <w:rFonts w:ascii="Calibri" w:eastAsia="Calibri" w:hAnsi="Calibri" w:cs="Calibri"/>
          <w:sz w:val="22"/>
          <w:szCs w:val="22"/>
          <w:lang w:val="en-ID"/>
        </w:rPr>
      </w:pPr>
      <w:r w:rsidRPr="00D97C06">
        <w:rPr>
          <w:rFonts w:ascii="Calibri" w:eastAsia="Calibri" w:hAnsi="Calibri" w:cs="Calibri"/>
          <w:sz w:val="22"/>
          <w:szCs w:val="22"/>
          <w:lang w:val="en-ID"/>
        </w:rPr>
        <w:t>Family support is also an important factor. The results of this study found that most parents are unable to guide their children in reading the Qur'an, either due to limited abilities or time constraints. Research by</w:t>
      </w:r>
      <w:r>
        <w:rPr>
          <w:rFonts w:ascii="Calibri" w:eastAsia="Calibri" w:hAnsi="Calibri" w:cs="Calibri"/>
          <w:sz w:val="22"/>
          <w:szCs w:val="22"/>
          <w:lang w:val="en-ID"/>
        </w:rPr>
        <w:t xml:space="preserve"> </w:t>
      </w:r>
      <w:r>
        <w:rPr>
          <w:rFonts w:ascii="Calibri" w:eastAsia="Calibri" w:hAnsi="Calibri" w:cs="Calibri"/>
          <w:sz w:val="22"/>
          <w:szCs w:val="22"/>
          <w:lang w:val="en-ID"/>
        </w:rPr>
        <w:fldChar w:fldCharType="begin" w:fldLock="1"/>
      </w:r>
      <w:r>
        <w:rPr>
          <w:rFonts w:ascii="Calibri" w:eastAsia="Calibri" w:hAnsi="Calibri" w:cs="Calibri"/>
          <w:sz w:val="22"/>
          <w:szCs w:val="22"/>
          <w:lang w:val="en-ID"/>
        </w:rPr>
        <w:instrText>ADDIN CSL_CITATION {"citationItems":[{"id":"ITEM-1","itemData":{"DOI":"10.35445/alishlah.v16i4.5763","author":[{"dropping-particle":"","family":"Azwar","given":"Beni","non-dropping-particle":"","parse-names":false,"suffix":""}],"container-title":"Al-Ishlah: Jurnal Pendidikan","id":"ITEM-1","issue":"4","issued":{"date-parts":[["2024"]]},"page":"5243-5253","title":"Collaborative Efforts of Counseling Teachers in Enhancing Self- Happiness Among Qur ' an- Memorizing Students : A Case Study","type":"article-journal","volume":"16"},"uris":["http://www.mendeley.com/documents/?uuid=44cbb02d-0b35-4f90-acda-6d1231551471"]}],"mendeley":{"formattedCitation":"(Azwar, 2024)","manualFormatting":"Azwar (2024)","plainTextFormattedCitation":"(Azwar, 2024)","previouslyFormattedCitation":"(Azwar, 2024)"},"properties":{"noteIndex":0},"schema":"https://github.com/citation-style-language/schema/raw/master/csl-citation.json"}</w:instrText>
      </w:r>
      <w:r>
        <w:rPr>
          <w:rFonts w:ascii="Calibri" w:eastAsia="Calibri" w:hAnsi="Calibri" w:cs="Calibri"/>
          <w:sz w:val="22"/>
          <w:szCs w:val="22"/>
          <w:lang w:val="en-ID"/>
        </w:rPr>
        <w:fldChar w:fldCharType="separate"/>
      </w:r>
      <w:r w:rsidRPr="00604A85">
        <w:rPr>
          <w:rFonts w:ascii="Calibri" w:eastAsia="Calibri" w:hAnsi="Calibri" w:cs="Calibri"/>
          <w:noProof/>
          <w:sz w:val="22"/>
          <w:szCs w:val="22"/>
          <w:lang w:val="en-ID"/>
        </w:rPr>
        <w:t xml:space="preserve">Azwar </w:t>
      </w:r>
      <w:r>
        <w:rPr>
          <w:rFonts w:ascii="Calibri" w:eastAsia="Calibri" w:hAnsi="Calibri" w:cs="Calibri"/>
          <w:noProof/>
          <w:sz w:val="22"/>
          <w:szCs w:val="22"/>
          <w:lang w:val="en-ID"/>
        </w:rPr>
        <w:t>(</w:t>
      </w:r>
      <w:r w:rsidRPr="00604A85">
        <w:rPr>
          <w:rFonts w:ascii="Calibri" w:eastAsia="Calibri" w:hAnsi="Calibri" w:cs="Calibri"/>
          <w:noProof/>
          <w:sz w:val="22"/>
          <w:szCs w:val="22"/>
          <w:lang w:val="en-ID"/>
        </w:rPr>
        <w:t>2024)</w:t>
      </w:r>
      <w:r>
        <w:rPr>
          <w:rFonts w:ascii="Calibri" w:eastAsia="Calibri" w:hAnsi="Calibri" w:cs="Calibri"/>
          <w:sz w:val="22"/>
          <w:szCs w:val="22"/>
          <w:lang w:val="en-ID"/>
        </w:rPr>
        <w:fldChar w:fldCharType="end"/>
      </w:r>
      <w:r>
        <w:rPr>
          <w:rFonts w:ascii="Calibri" w:eastAsia="Calibri" w:hAnsi="Calibri" w:cs="Calibri"/>
          <w:sz w:val="22"/>
          <w:szCs w:val="22"/>
          <w:lang w:val="en-ID"/>
        </w:rPr>
        <w:t xml:space="preserve"> and</w:t>
      </w:r>
      <w:r w:rsidRPr="00D97C06">
        <w:rPr>
          <w:rFonts w:ascii="Calibri" w:eastAsia="Calibri" w:hAnsi="Calibri" w:cs="Calibri"/>
          <w:sz w:val="22"/>
          <w:szCs w:val="22"/>
          <w:lang w:val="en-ID"/>
        </w:rPr>
        <w:t xml:space="preserve"> </w:t>
      </w:r>
      <w:r>
        <w:rPr>
          <w:rFonts w:ascii="Calibri" w:eastAsia="Calibri" w:hAnsi="Calibri" w:cs="Calibri"/>
          <w:sz w:val="22"/>
          <w:szCs w:val="22"/>
          <w:lang w:val="en-ID"/>
        </w:rPr>
        <w:fldChar w:fldCharType="begin" w:fldLock="1"/>
      </w:r>
      <w:r>
        <w:rPr>
          <w:rFonts w:ascii="Calibri" w:eastAsia="Calibri" w:hAnsi="Calibri" w:cs="Calibri"/>
          <w:sz w:val="22"/>
          <w:szCs w:val="22"/>
          <w:lang w:val="en-ID"/>
        </w:rPr>
        <w:instrText>ADDIN CSL_CITATION {"citationItems":[{"id":"ITEM-1","itemData":{"DOI":"http://dx.doi.org/10.32806/jf.v14i2.611","author":[{"dropping-particle":"","family":"Hanafi","given":"Muhammad","non-dropping-particle":"","parse-names":false,"suffix":""},{"dropping-particle":"","family":"Pohan","given":"Selamat","non-dropping-particle":"","parse-names":false,"suffix":""}],"container-title":"FIKROTUNA; Jurnal Pendidikan dan Manajemen Islam","id":"ITEM-1","issue":"2","issued":{"date-parts":[["2024"]]},"page":"189-202","title":"Enhancing Quranic Literacy : The Role Teacher and Parental Involvement in Quran Learning","type":"article-journal","volume":"14"},"uris":["http://www.mendeley.com/documents/?uuid=fbe62bdc-c742-4843-b500-89abb91514f1"]}],"mendeley":{"formattedCitation":"(M. Hanafi &amp; Pohan, 2024)","manualFormatting":"Hanafi &amp; Pohan (2024)","plainTextFormattedCitation":"(M. Hanafi &amp; Pohan, 2024)","previouslyFormattedCitation":"(M. Hanafi &amp; Pohan, 2024)"},"properties":{"noteIndex":0},"schema":"https://github.com/citation-style-language/schema/raw/master/csl-citation.json"}</w:instrText>
      </w:r>
      <w:r>
        <w:rPr>
          <w:rFonts w:ascii="Calibri" w:eastAsia="Calibri" w:hAnsi="Calibri" w:cs="Calibri"/>
          <w:sz w:val="22"/>
          <w:szCs w:val="22"/>
          <w:lang w:val="en-ID"/>
        </w:rPr>
        <w:fldChar w:fldCharType="separate"/>
      </w:r>
      <w:r w:rsidRPr="00D85921">
        <w:rPr>
          <w:rFonts w:ascii="Calibri" w:eastAsia="Calibri" w:hAnsi="Calibri" w:cs="Calibri"/>
          <w:noProof/>
          <w:sz w:val="22"/>
          <w:szCs w:val="22"/>
          <w:lang w:val="en-ID"/>
        </w:rPr>
        <w:t xml:space="preserve">Hanafi &amp; Pohan </w:t>
      </w:r>
      <w:r>
        <w:rPr>
          <w:rFonts w:ascii="Calibri" w:eastAsia="Calibri" w:hAnsi="Calibri" w:cs="Calibri"/>
          <w:noProof/>
          <w:sz w:val="22"/>
          <w:szCs w:val="22"/>
          <w:lang w:val="en-ID"/>
        </w:rPr>
        <w:t>(</w:t>
      </w:r>
      <w:r w:rsidRPr="00D85921">
        <w:rPr>
          <w:rFonts w:ascii="Calibri" w:eastAsia="Calibri" w:hAnsi="Calibri" w:cs="Calibri"/>
          <w:noProof/>
          <w:sz w:val="22"/>
          <w:szCs w:val="22"/>
          <w:lang w:val="en-ID"/>
        </w:rPr>
        <w:t>2024)</w:t>
      </w:r>
      <w:r>
        <w:rPr>
          <w:rFonts w:ascii="Calibri" w:eastAsia="Calibri" w:hAnsi="Calibri" w:cs="Calibri"/>
          <w:sz w:val="22"/>
          <w:szCs w:val="22"/>
          <w:lang w:val="en-ID"/>
        </w:rPr>
        <w:fldChar w:fldCharType="end"/>
      </w:r>
      <w:r>
        <w:rPr>
          <w:rFonts w:ascii="Calibri" w:eastAsia="Calibri" w:hAnsi="Calibri" w:cs="Calibri"/>
          <w:sz w:val="22"/>
          <w:szCs w:val="22"/>
          <w:lang w:val="en-ID"/>
        </w:rPr>
        <w:t xml:space="preserve"> </w:t>
      </w:r>
      <w:r w:rsidRPr="00D97C06">
        <w:rPr>
          <w:rFonts w:ascii="Calibri" w:eastAsia="Calibri" w:hAnsi="Calibri" w:cs="Calibri"/>
          <w:sz w:val="22"/>
          <w:szCs w:val="22"/>
          <w:lang w:val="en-ID"/>
        </w:rPr>
        <w:t>show that a supportive family environment, parental involvement, and a routine of reading the Quran together can significantly improve children's ability to read the Quran. Conversely, a lack of attention and guidance from the family has a negative impact on the development of students' ability to read the Quran.</w:t>
      </w:r>
    </w:p>
    <w:p w14:paraId="1A45ACC7" w14:textId="32594DBE" w:rsidR="003B560C" w:rsidRDefault="003B560C" w:rsidP="003B560C">
      <w:pPr>
        <w:ind w:firstLine="426"/>
        <w:jc w:val="both"/>
        <w:rPr>
          <w:rFonts w:ascii="Calibri" w:eastAsia="Calibri" w:hAnsi="Calibri" w:cs="Calibri"/>
          <w:sz w:val="22"/>
          <w:szCs w:val="22"/>
          <w:lang w:val="en-ID"/>
        </w:rPr>
      </w:pPr>
      <w:r w:rsidRPr="00D97C06">
        <w:rPr>
          <w:rFonts w:ascii="Calibri" w:eastAsia="Calibri" w:hAnsi="Calibri" w:cs="Calibri"/>
          <w:sz w:val="22"/>
          <w:szCs w:val="22"/>
          <w:lang w:val="en-ID"/>
        </w:rPr>
        <w:t>The social environment also has a significant influence. Research by</w:t>
      </w:r>
      <w:r>
        <w:rPr>
          <w:rFonts w:ascii="Calibri" w:eastAsia="Calibri" w:hAnsi="Calibri" w:cs="Calibri"/>
          <w:sz w:val="22"/>
          <w:szCs w:val="22"/>
          <w:lang w:val="en-ID"/>
        </w:rPr>
        <w:t xml:space="preserve"> </w:t>
      </w:r>
      <w:r>
        <w:rPr>
          <w:rFonts w:ascii="Calibri" w:eastAsia="Calibri" w:hAnsi="Calibri" w:cs="Calibri"/>
          <w:sz w:val="22"/>
          <w:szCs w:val="22"/>
          <w:lang w:val="en-ID"/>
        </w:rPr>
        <w:fldChar w:fldCharType="begin" w:fldLock="1"/>
      </w:r>
      <w:r>
        <w:rPr>
          <w:rFonts w:ascii="Calibri" w:eastAsia="Calibri" w:hAnsi="Calibri" w:cs="Calibri"/>
          <w:sz w:val="22"/>
          <w:szCs w:val="22"/>
          <w:lang w:val="en-ID"/>
        </w:rPr>
        <w:instrText>ADDIN CSL_CITATION {"citationItems":[{"id":"ITEM-1","itemData":{"DOI":"10.24252/al-daulah.","author":[{"dropping-particle":"","family":"Gaya","given":"Shahbaz","non-dropping-particle":"","parse-names":false,"suffix":""},{"dropping-particle":"","family":"Ahmad","given":"Nadzrah","non-dropping-particle":"","parse-names":false,"suffix":""}],"container-title":"Jurnal Hukum Pidana dan Ketatanegaraan","id":"ITEM-1","issue":"1","issued":{"date-parts":[["2024"]]},"page":"34-49","title":"The Concept of Islamic Identity and Its Importance for Muslim Youth","type":"article-journal","volume":"13"},"uris":["http://www.mendeley.com/documents/?uuid=19f21679-80e1-491c-9bf6-b0382670fdf3"]}],"mendeley":{"formattedCitation":"(Gaya &amp; Ahmad, 2024)","manualFormatting":"Gaya &amp; Ahmad (2024)","plainTextFormattedCitation":"(Gaya &amp; Ahmad, 2024)","previouslyFormattedCitation":"(Gaya &amp; Ahmad, 2024)"},"properties":{"noteIndex":0},"schema":"https://github.com/citation-style-language/schema/raw/master/csl-citation.json"}</w:instrText>
      </w:r>
      <w:r>
        <w:rPr>
          <w:rFonts w:ascii="Calibri" w:eastAsia="Calibri" w:hAnsi="Calibri" w:cs="Calibri"/>
          <w:sz w:val="22"/>
          <w:szCs w:val="22"/>
          <w:lang w:val="en-ID"/>
        </w:rPr>
        <w:fldChar w:fldCharType="separate"/>
      </w:r>
      <w:r w:rsidRPr="00781975">
        <w:rPr>
          <w:rFonts w:ascii="Calibri" w:eastAsia="Calibri" w:hAnsi="Calibri" w:cs="Calibri"/>
          <w:noProof/>
          <w:sz w:val="22"/>
          <w:szCs w:val="22"/>
          <w:lang w:val="en-ID"/>
        </w:rPr>
        <w:t xml:space="preserve">Gaya &amp; Ahmad </w:t>
      </w:r>
      <w:r>
        <w:rPr>
          <w:rFonts w:ascii="Calibri" w:eastAsia="Calibri" w:hAnsi="Calibri" w:cs="Calibri"/>
          <w:noProof/>
          <w:sz w:val="22"/>
          <w:szCs w:val="22"/>
          <w:lang w:val="en-ID"/>
        </w:rPr>
        <w:t>(</w:t>
      </w:r>
      <w:r w:rsidRPr="00781975">
        <w:rPr>
          <w:rFonts w:ascii="Calibri" w:eastAsia="Calibri" w:hAnsi="Calibri" w:cs="Calibri"/>
          <w:noProof/>
          <w:sz w:val="22"/>
          <w:szCs w:val="22"/>
          <w:lang w:val="en-ID"/>
        </w:rPr>
        <w:t>2024)</w:t>
      </w:r>
      <w:r>
        <w:rPr>
          <w:rFonts w:ascii="Calibri" w:eastAsia="Calibri" w:hAnsi="Calibri" w:cs="Calibri"/>
          <w:sz w:val="22"/>
          <w:szCs w:val="22"/>
          <w:lang w:val="en-ID"/>
        </w:rPr>
        <w:fldChar w:fldCharType="end"/>
      </w:r>
      <w:r w:rsidRPr="00781975">
        <w:rPr>
          <w:rFonts w:ascii="Calibri" w:eastAsia="Calibri" w:hAnsi="Calibri" w:cs="Calibri"/>
          <w:sz w:val="22"/>
          <w:szCs w:val="22"/>
          <w:lang w:val="en-ID"/>
        </w:rPr>
        <w:t xml:space="preserve"> shows that Muslim youth who are in supportive environments, such as peers who share and practice Islamic values, tend to have a stronger sense of Islamic identity and are more resilient in the face of external pressures such as peer pressure, materialism, and Islamophobia. Conversely, those in less supportive environments may face greater challenges in maintaining their religious identity, which can lead to weakened beliefs or engagement in behaviors contrary to Islamic teachings. These findings emphasize that the social context plays a substantial role in shaping and maintaining the Islamic identity of Muslim youth, serving as a foundation that helps them navigate contemporary challenges</w:t>
      </w:r>
    </w:p>
    <w:p w14:paraId="2E91CE29" w14:textId="2B90B948" w:rsidR="003B560C" w:rsidRDefault="003B560C" w:rsidP="003B560C">
      <w:pPr>
        <w:ind w:firstLine="426"/>
        <w:jc w:val="both"/>
        <w:rPr>
          <w:rFonts w:ascii="Calibri" w:eastAsia="Calibri" w:hAnsi="Calibri" w:cs="Calibri"/>
          <w:sz w:val="22"/>
          <w:szCs w:val="22"/>
          <w:lang w:val="en-ID"/>
        </w:rPr>
      </w:pPr>
      <w:r w:rsidRPr="00D97C06">
        <w:rPr>
          <w:rFonts w:ascii="Calibri" w:eastAsia="Calibri" w:hAnsi="Calibri" w:cs="Calibri"/>
          <w:sz w:val="22"/>
          <w:szCs w:val="22"/>
          <w:lang w:val="en-ID"/>
        </w:rPr>
        <w:t xml:space="preserve">In addition, limitations in learning facilities, such as the absence of Al-Qur'an manuscripts at home, also pose obstacles, as found in this study. </w:t>
      </w:r>
      <w:r>
        <w:rPr>
          <w:rFonts w:ascii="Calibri" w:eastAsia="Calibri" w:hAnsi="Calibri" w:cs="Calibri"/>
          <w:sz w:val="22"/>
          <w:szCs w:val="22"/>
          <w:lang w:val="en-ID"/>
        </w:rPr>
        <w:fldChar w:fldCharType="begin" w:fldLock="1"/>
      </w:r>
      <w:r>
        <w:rPr>
          <w:rFonts w:ascii="Calibri" w:eastAsia="Calibri" w:hAnsi="Calibri" w:cs="Calibri"/>
          <w:sz w:val="22"/>
          <w:szCs w:val="22"/>
          <w:lang w:val="en-ID"/>
        </w:rPr>
        <w:instrText>ADDIN CSL_CITATION {"citationItems":[{"id":"ITEM-1","itemData":{"DOI":"10.24036/ijmurhica.v4i1.152","ISSN":"2623-1468","abstract":"This study aims to analyze the problems of teachers and students in learning the Qur'an. This study uses a qualitative method with a case study approach, data sources were taken from forty-two informants through in-depth interviews who were selected using a purposive sampling technique. All interview results were then analyzed thematically using Interactive Miles &amp; Huberman's qualitative data analysis. The findings show that there are twelve findings of teacher and student problems in learning the Qur'an. Related to teacher problems include; i) lack of recitation and training activities for Al-Qur'an teachers, ii) lack of competency of the Qur'an teachers, iii) difficulty managing time, iv) class capacity of students, v) differences in student backgrounds, vi) organizing and conditioning students in class, vii) the lack of welfare of the teacher's Qur'an. Related to student problems; i) the level of student focus or concentration in learning, ii) lack of student discipline, iii) lack of student enthusiasm in learning. The research also found problems related to facilities and infrastructure, namely; i) lack of availability of the Qur'an, ii) lack of tables for the Qur'an.","author":[{"dropping-particle":"","family":"Nisa","given":"Fadhila Khairatun","non-dropping-particle":"","parse-names":false,"suffix":""},{"dropping-particle":"","family":"Rido","given":"Muhammad Ali","non-dropping-particle":"","parse-names":false,"suffix":""},{"dropping-particle":"","family":"Izharman","given":"Izharman","non-dropping-particle":"","parse-names":false,"suffix":""},{"dropping-particle":"","family":"Susanti","given":"Weti","non-dropping-particle":"","parse-names":false,"suffix":""}],"container-title":"International Journal of Multidisciplinary Research of Higher Education","id":"ITEM-1","issue":"1","issued":{"date-parts":[["2021"]]},"page":"1-11","title":"Problems of Teachers and Santri in Learning the Qur’an","type":"article-journal","volume":"1"},"uris":["http://www.mendeley.com/documents/?uuid=24b5e5b0-6924-4e6b-b62a-798f7eaa0526"]}],"mendeley":{"formattedCitation":"(Nisa et al., 2021)","manualFormatting":"Nisa et al. (2021)","plainTextFormattedCitation":"(Nisa et al., 2021)","previouslyFormattedCitation":"(Nisa et al., 2021)"},"properties":{"noteIndex":0},"schema":"https://github.com/citation-style-language/schema/raw/master/csl-citation.json"}</w:instrText>
      </w:r>
      <w:r>
        <w:rPr>
          <w:rFonts w:ascii="Calibri" w:eastAsia="Calibri" w:hAnsi="Calibri" w:cs="Calibri"/>
          <w:sz w:val="22"/>
          <w:szCs w:val="22"/>
          <w:lang w:val="en-ID"/>
        </w:rPr>
        <w:fldChar w:fldCharType="separate"/>
      </w:r>
      <w:r w:rsidRPr="003229B5">
        <w:rPr>
          <w:rFonts w:ascii="Calibri" w:eastAsia="Calibri" w:hAnsi="Calibri" w:cs="Calibri"/>
          <w:noProof/>
          <w:sz w:val="22"/>
          <w:szCs w:val="22"/>
          <w:lang w:val="en-ID"/>
        </w:rPr>
        <w:t xml:space="preserve">Nisa et al. </w:t>
      </w:r>
      <w:r>
        <w:rPr>
          <w:rFonts w:ascii="Calibri" w:eastAsia="Calibri" w:hAnsi="Calibri" w:cs="Calibri"/>
          <w:noProof/>
          <w:sz w:val="22"/>
          <w:szCs w:val="22"/>
          <w:lang w:val="en-ID"/>
        </w:rPr>
        <w:t>(</w:t>
      </w:r>
      <w:r w:rsidRPr="003229B5">
        <w:rPr>
          <w:rFonts w:ascii="Calibri" w:eastAsia="Calibri" w:hAnsi="Calibri" w:cs="Calibri"/>
          <w:noProof/>
          <w:sz w:val="22"/>
          <w:szCs w:val="22"/>
          <w:lang w:val="en-ID"/>
        </w:rPr>
        <w:t>2021)</w:t>
      </w:r>
      <w:r>
        <w:rPr>
          <w:rFonts w:ascii="Calibri" w:eastAsia="Calibri" w:hAnsi="Calibri" w:cs="Calibri"/>
          <w:sz w:val="22"/>
          <w:szCs w:val="22"/>
          <w:lang w:val="en-ID"/>
        </w:rPr>
        <w:fldChar w:fldCharType="end"/>
      </w:r>
      <w:r>
        <w:rPr>
          <w:rFonts w:asciiTheme="minorHAnsi" w:hAnsiTheme="minorHAnsi" w:cstheme="minorHAnsi"/>
          <w:sz w:val="22"/>
          <w:szCs w:val="22"/>
        </w:rPr>
        <w:t xml:space="preserve"> </w:t>
      </w:r>
      <w:r w:rsidRPr="00D97C06">
        <w:rPr>
          <w:rFonts w:ascii="Calibri" w:eastAsia="Calibri" w:hAnsi="Calibri" w:cs="Calibri"/>
          <w:sz w:val="22"/>
          <w:szCs w:val="22"/>
          <w:lang w:val="en-ID"/>
        </w:rPr>
        <w:t>emphasize the importance of adequate learning facilities to support the process of learning to read the Al-Qur'an at home and at school. This facility factor is further supported by findings from various other studies, such as those by</w:t>
      </w:r>
      <w:r>
        <w:rPr>
          <w:rFonts w:ascii="Calibri" w:eastAsia="Calibri" w:hAnsi="Calibri" w:cs="Calibri"/>
          <w:sz w:val="22"/>
          <w:szCs w:val="22"/>
          <w:lang w:val="en-ID"/>
        </w:rPr>
        <w:t xml:space="preserve"> </w:t>
      </w:r>
      <w:r>
        <w:rPr>
          <w:rFonts w:ascii="Calibri" w:eastAsia="Calibri" w:hAnsi="Calibri" w:cs="Calibri"/>
          <w:sz w:val="22"/>
          <w:szCs w:val="22"/>
          <w:lang w:val="en-ID"/>
        </w:rPr>
        <w:fldChar w:fldCharType="begin" w:fldLock="1"/>
      </w:r>
      <w:r>
        <w:rPr>
          <w:rFonts w:ascii="Calibri" w:eastAsia="Calibri" w:hAnsi="Calibri" w:cs="Calibri"/>
          <w:sz w:val="22"/>
          <w:szCs w:val="22"/>
          <w:lang w:val="en-ID"/>
        </w:rPr>
        <w:instrText>ADDIN CSL_CITATION {"citationItems":[{"id":"ITEM-1","itemData":{"DOI":"http://dx.doi.org/10.17977/um025v9i12024p60","author":[{"dropping-particle":"","family":"Asmariyah","given":"Asmariyah","non-dropping-particle":"","parse-names":false,"suffix":""},{"dropping-particle":"","family":"Supriyanto","given":"Achmad","non-dropping-particle":"","parse-names":false,"suffix":""},{"dropping-particle":"","family":"Sobri","given":"Ahmad Yusuf","non-dropping-particle":"","parse-names":false,"suffix":""}],"container-title":"JMSP: Jurnal Manajemen dan Supervisi Pendidikan","id":"ITEM-1","issue":"1","issued":{"date-parts":[["2024"]]},"page":"164-168","title":"The Influence of Learning Facilities on Students' Academic Achievement at the International Islamic Boarding School Malang","type":"article-journal","volume":"9"},"uris":["http://www.mendeley.com/documents/?uuid=5fc6e12f-6478-4e89-9353-df1e1d4cb213"]}],"mendeley":{"formattedCitation":"(Asmariyah et al., 2024)","manualFormatting":"Asmariyah et al. (2024)","plainTextFormattedCitation":"(Asmariyah et al., 2024)","previouslyFormattedCitation":"(Asmariyah et al., 2024)"},"properties":{"noteIndex":0},"schema":"https://github.com/citation-style-language/schema/raw/master/csl-citation.json"}</w:instrText>
      </w:r>
      <w:r>
        <w:rPr>
          <w:rFonts w:ascii="Calibri" w:eastAsia="Calibri" w:hAnsi="Calibri" w:cs="Calibri"/>
          <w:sz w:val="22"/>
          <w:szCs w:val="22"/>
          <w:lang w:val="en-ID"/>
        </w:rPr>
        <w:fldChar w:fldCharType="separate"/>
      </w:r>
      <w:r w:rsidRPr="009E1EB5">
        <w:rPr>
          <w:rFonts w:ascii="Calibri" w:eastAsia="Calibri" w:hAnsi="Calibri" w:cs="Calibri"/>
          <w:noProof/>
          <w:sz w:val="22"/>
          <w:szCs w:val="22"/>
          <w:lang w:val="en-ID"/>
        </w:rPr>
        <w:t xml:space="preserve">Asmariyah et al. </w:t>
      </w:r>
      <w:r>
        <w:rPr>
          <w:rFonts w:ascii="Calibri" w:eastAsia="Calibri" w:hAnsi="Calibri" w:cs="Calibri"/>
          <w:noProof/>
          <w:sz w:val="22"/>
          <w:szCs w:val="22"/>
          <w:lang w:val="en-ID"/>
        </w:rPr>
        <w:t>(</w:t>
      </w:r>
      <w:r w:rsidRPr="009E1EB5">
        <w:rPr>
          <w:rFonts w:ascii="Calibri" w:eastAsia="Calibri" w:hAnsi="Calibri" w:cs="Calibri"/>
          <w:noProof/>
          <w:sz w:val="22"/>
          <w:szCs w:val="22"/>
          <w:lang w:val="en-ID"/>
        </w:rPr>
        <w:t>2024)</w:t>
      </w:r>
      <w:r>
        <w:rPr>
          <w:rFonts w:ascii="Calibri" w:eastAsia="Calibri" w:hAnsi="Calibri" w:cs="Calibri"/>
          <w:sz w:val="22"/>
          <w:szCs w:val="22"/>
          <w:lang w:val="en-ID"/>
        </w:rPr>
        <w:fldChar w:fldCharType="end"/>
      </w:r>
      <w:r>
        <w:rPr>
          <w:rFonts w:ascii="Calibri" w:eastAsia="Calibri" w:hAnsi="Calibri" w:cs="Calibri"/>
          <w:sz w:val="22"/>
          <w:szCs w:val="22"/>
          <w:lang w:val="en-ID"/>
        </w:rPr>
        <w:t xml:space="preserve">, </w:t>
      </w:r>
      <w:r>
        <w:rPr>
          <w:rFonts w:ascii="Calibri" w:eastAsia="Calibri" w:hAnsi="Calibri" w:cs="Calibri"/>
          <w:sz w:val="22"/>
          <w:szCs w:val="22"/>
          <w:lang w:val="en-ID"/>
        </w:rPr>
        <w:fldChar w:fldCharType="begin" w:fldLock="1"/>
      </w:r>
      <w:r>
        <w:rPr>
          <w:rFonts w:ascii="Calibri" w:eastAsia="Calibri" w:hAnsi="Calibri" w:cs="Calibri"/>
          <w:sz w:val="22"/>
          <w:szCs w:val="22"/>
          <w:lang w:val="en-ID"/>
        </w:rPr>
        <w:instrText>ADDIN CSL_CITATION {"citationItems":[{"id":"ITEM-1","itemData":{"DOI":"10.37680/qalamuna.v14i2.3764","ISSN":"1907-6355","author":[{"dropping-particle":"","family":"Hidayat","given":"Syamsul","non-dropping-particle":"","parse-names":false,"suffix":""},{"dropping-particle":"","family":"Amirsyah","given":"Amirsyah","non-dropping-particle":"","parse-names":false,"suffix":""},{"dropping-particle":"","family":"Affandi","given":"Lukman","non-dropping-particle":"","parse-names":false,"suffix":""},{"dropping-particle":"","family":"Rahmat","given":"Munawar","non-dropping-particle":"","parse-names":false,"suffix":""}],"container-title":"QALAMUNA: Jurnal Pendidikan, Sosial, dan Agama","id":"ITEM-1","issue":"2","issued":{"date-parts":[["2022"]]},"page":"947-960","title":"The Impact of the Digital Al-Qur'an Thematic Learning Model on the Learning Achievement of Santri at Islamic Boarding Schools in Bandung Regency","type":"article-journal","volume":"14"},"uris":["http://www.mendeley.com/documents/?uuid=e243ec1a-4057-484a-8bff-25c965cdad83"]}],"mendeley":{"formattedCitation":"(Hidayat et al., 2022)","manualFormatting":"Hidayat et al. (2022)","plainTextFormattedCitation":"(Hidayat et al., 2022)","previouslyFormattedCitation":"(Hidayat et al., 2022)"},"properties":{"noteIndex":0},"schema":"https://github.com/citation-style-language/schema/raw/master/csl-citation.json"}</w:instrText>
      </w:r>
      <w:r>
        <w:rPr>
          <w:rFonts w:ascii="Calibri" w:eastAsia="Calibri" w:hAnsi="Calibri" w:cs="Calibri"/>
          <w:sz w:val="22"/>
          <w:szCs w:val="22"/>
          <w:lang w:val="en-ID"/>
        </w:rPr>
        <w:fldChar w:fldCharType="separate"/>
      </w:r>
      <w:r w:rsidRPr="009E1EB5">
        <w:rPr>
          <w:rFonts w:ascii="Calibri" w:eastAsia="Calibri" w:hAnsi="Calibri" w:cs="Calibri"/>
          <w:noProof/>
          <w:sz w:val="22"/>
          <w:szCs w:val="22"/>
          <w:lang w:val="en-ID"/>
        </w:rPr>
        <w:t xml:space="preserve">Hidayat et al. </w:t>
      </w:r>
      <w:r>
        <w:rPr>
          <w:rFonts w:ascii="Calibri" w:eastAsia="Calibri" w:hAnsi="Calibri" w:cs="Calibri"/>
          <w:noProof/>
          <w:sz w:val="22"/>
          <w:szCs w:val="22"/>
          <w:lang w:val="en-ID"/>
        </w:rPr>
        <w:t>(</w:t>
      </w:r>
      <w:r w:rsidRPr="009E1EB5">
        <w:rPr>
          <w:rFonts w:ascii="Calibri" w:eastAsia="Calibri" w:hAnsi="Calibri" w:cs="Calibri"/>
          <w:noProof/>
          <w:sz w:val="22"/>
          <w:szCs w:val="22"/>
          <w:lang w:val="en-ID"/>
        </w:rPr>
        <w:t>2022)</w:t>
      </w:r>
      <w:r>
        <w:rPr>
          <w:rFonts w:ascii="Calibri" w:eastAsia="Calibri" w:hAnsi="Calibri" w:cs="Calibri"/>
          <w:sz w:val="22"/>
          <w:szCs w:val="22"/>
          <w:lang w:val="en-ID"/>
        </w:rPr>
        <w:fldChar w:fldCharType="end"/>
      </w:r>
      <w:r>
        <w:rPr>
          <w:rFonts w:ascii="Calibri" w:eastAsia="Calibri" w:hAnsi="Calibri" w:cs="Calibri"/>
          <w:sz w:val="22"/>
          <w:szCs w:val="22"/>
          <w:lang w:val="en-ID"/>
        </w:rPr>
        <w:t xml:space="preserve"> and </w:t>
      </w:r>
      <w:r>
        <w:rPr>
          <w:rFonts w:ascii="Calibri" w:eastAsia="Calibri" w:hAnsi="Calibri" w:cs="Calibri"/>
          <w:sz w:val="22"/>
          <w:szCs w:val="22"/>
          <w:lang w:val="en-ID"/>
        </w:rPr>
        <w:fldChar w:fldCharType="begin" w:fldLock="1"/>
      </w:r>
      <w:r>
        <w:rPr>
          <w:rFonts w:ascii="Calibri" w:eastAsia="Calibri" w:hAnsi="Calibri" w:cs="Calibri"/>
          <w:sz w:val="22"/>
          <w:szCs w:val="22"/>
          <w:lang w:val="en-ID"/>
        </w:rPr>
        <w:instrText>ADDIN CSL_CITATION {"citationItems":[{"id":"ITEM-1","itemData":{"DOI":"https://doi.org/10.21070/ijis.v12i2.1718","abstract":"This study aims to determine the effect of augmented reality learning media on students' motivationandlearningoutcomesinelementarysocial studies subjects.Theresearchmethod used is quantitative experimental, pre experimental design, one group pretest-posttest. The data collection technique was done by giving pretest and posttest. Data analysis techniques usinginferential statisticsincludeparametricstatisticsusingpairedsamplet-test.Theresults of the study found that there was a big influence on the use of augmented reality learning media on students' motivation and learning outcomes in elementary social studies subjects. There are two aspects of increasing students' learning motivation including intrinsic and extrinsic aspects. Meanwhile, the increase in student learning outcomes in the cognitive domain is at levels C1, C2 and C3. The results of this study suggest that teachers, especially teachers at the elementary level, make more use of technology in making learning media, especially in social studies subjects. In addition to facilitating the planting of learning concepts, the use of technology-based learning media is also useful in making learning activities more interesting and making it easier for students to understand learning materials.","author":[{"dropping-particle":"","family":"Khotimah","given":"Husnul","non-dropping-particle":"","parse-names":false,"suffix":""},{"dropping-particle":"","family":"Maslikhatun","given":"Nur","non-dropping-particle":"","parse-names":false,"suffix":""}],"container-title":"Indonesian Journal of Law and Economics Review","id":"ITEM-1","issue":"2","issued":{"date-parts":[["2024"]]},"page":"6-13","title":"Global Challenges in Elementary Qur’an Memorization Tantangan","type":"article-journal","volume":"12"},"uris":["http://www.mendeley.com/documents/?uuid=e0869403-fe37-4d4a-9246-13235a5f1033"]}],"mendeley":{"formattedCitation":"(Khotimah &amp; Maslikhatun, 2024)","manualFormatting":"Khotimah &amp; Maslikhatun (2024)","plainTextFormattedCitation":"(Khotimah &amp; Maslikhatun, 2024)","previouslyFormattedCitation":"(Khotimah &amp; Maslikhatun, 2024)"},"properties":{"noteIndex":0},"schema":"https://github.com/citation-style-language/schema/raw/master/csl-citation.json"}</w:instrText>
      </w:r>
      <w:r>
        <w:rPr>
          <w:rFonts w:ascii="Calibri" w:eastAsia="Calibri" w:hAnsi="Calibri" w:cs="Calibri"/>
          <w:sz w:val="22"/>
          <w:szCs w:val="22"/>
          <w:lang w:val="en-ID"/>
        </w:rPr>
        <w:fldChar w:fldCharType="separate"/>
      </w:r>
      <w:r w:rsidRPr="009E1EB5">
        <w:rPr>
          <w:rFonts w:ascii="Calibri" w:eastAsia="Calibri" w:hAnsi="Calibri" w:cs="Calibri"/>
          <w:noProof/>
          <w:sz w:val="22"/>
          <w:szCs w:val="22"/>
          <w:lang w:val="en-ID"/>
        </w:rPr>
        <w:t xml:space="preserve">Khotimah &amp; Maslikhatun </w:t>
      </w:r>
      <w:r>
        <w:rPr>
          <w:rFonts w:ascii="Calibri" w:eastAsia="Calibri" w:hAnsi="Calibri" w:cs="Calibri"/>
          <w:noProof/>
          <w:sz w:val="22"/>
          <w:szCs w:val="22"/>
          <w:lang w:val="en-ID"/>
        </w:rPr>
        <w:t>(</w:t>
      </w:r>
      <w:r w:rsidRPr="009E1EB5">
        <w:rPr>
          <w:rFonts w:ascii="Calibri" w:eastAsia="Calibri" w:hAnsi="Calibri" w:cs="Calibri"/>
          <w:noProof/>
          <w:sz w:val="22"/>
          <w:szCs w:val="22"/>
          <w:lang w:val="en-ID"/>
        </w:rPr>
        <w:t>2024)</w:t>
      </w:r>
      <w:r>
        <w:rPr>
          <w:rFonts w:ascii="Calibri" w:eastAsia="Calibri" w:hAnsi="Calibri" w:cs="Calibri"/>
          <w:sz w:val="22"/>
          <w:szCs w:val="22"/>
          <w:lang w:val="en-ID"/>
        </w:rPr>
        <w:fldChar w:fldCharType="end"/>
      </w:r>
      <w:r w:rsidRPr="00D97C06">
        <w:rPr>
          <w:rFonts w:ascii="Calibri" w:eastAsia="Calibri" w:hAnsi="Calibri" w:cs="Calibri"/>
          <w:sz w:val="22"/>
          <w:szCs w:val="22"/>
          <w:lang w:val="en-ID"/>
        </w:rPr>
        <w:t>, which indicate that students with easy access to the Quran tend to practice more frequently and master reading more quickly</w:t>
      </w:r>
    </w:p>
    <w:p w14:paraId="2A9ED27D" w14:textId="77777777" w:rsidR="003B560C" w:rsidRDefault="003B560C" w:rsidP="003B560C">
      <w:pPr>
        <w:ind w:firstLine="426"/>
        <w:jc w:val="both"/>
        <w:rPr>
          <w:rFonts w:ascii="Calibri" w:eastAsia="Calibri" w:hAnsi="Calibri" w:cs="Calibri"/>
          <w:sz w:val="22"/>
          <w:szCs w:val="22"/>
          <w:lang w:val="en-ID"/>
        </w:rPr>
      </w:pPr>
      <w:r w:rsidRPr="00DB6FAC">
        <w:rPr>
          <w:rFonts w:ascii="Calibri" w:eastAsia="Calibri" w:hAnsi="Calibri" w:cs="Calibri"/>
          <w:sz w:val="22"/>
          <w:szCs w:val="22"/>
          <w:lang w:val="en-ID"/>
        </w:rPr>
        <w:t>From a learning strategy perspective, previous studies such as that by</w:t>
      </w:r>
      <w:r>
        <w:rPr>
          <w:rFonts w:ascii="Calibri" w:eastAsia="Calibri" w:hAnsi="Calibri" w:cs="Calibri"/>
          <w:sz w:val="22"/>
          <w:szCs w:val="22"/>
          <w:lang w:val="en-ID"/>
        </w:rPr>
        <w:t xml:space="preserve"> </w:t>
      </w:r>
      <w:r>
        <w:rPr>
          <w:rFonts w:ascii="Calibri" w:eastAsia="Calibri" w:hAnsi="Calibri" w:cs="Calibri"/>
          <w:sz w:val="22"/>
          <w:szCs w:val="22"/>
          <w:lang w:val="en-ID"/>
        </w:rPr>
        <w:fldChar w:fldCharType="begin" w:fldLock="1"/>
      </w:r>
      <w:r>
        <w:rPr>
          <w:rFonts w:ascii="Calibri" w:eastAsia="Calibri" w:hAnsi="Calibri" w:cs="Calibri"/>
          <w:sz w:val="22"/>
          <w:szCs w:val="22"/>
          <w:lang w:val="en-ID"/>
        </w:rPr>
        <w:instrText>ADDIN CSL_CITATION {"citationItems":[{"id":"ITEM-1","itemData":{"DOI":"10.59653/jmisc.v1i03.280","abstract":"The guide to the Islamic religion is the holy book Al-Qur'an, which should be read exactly according to the rules of Tajweed and understood as a guide to life. There are still students in this field who are not good at reading the Qur’an and need alternative methods to practice and improve their ability to read the Qur’an. The purpose of this study is to provide educators with knowledge on how to practice good Qur’an reading using different methods such as Talaqqi and Tasin methods. This study uses quantitative methods combined with experimental methods. Data collection was carried out by means of a reading test of several Quranic verses used to measure Qur’an reading ability. The research subjects were 35 Santri people. Data analysis used SPSS Statistic 26 application, specifically multiple linear regression analysis. The results of this study show that talaqqi and tahsin methods have a significant influence on students' ability to read the Qur’an. 41.8% of a person's ability to read the Qur’an is influenced by talaqqi and tasin methods, the remaining 58.2% by other factors.","author":[{"dropping-particle":"","family":"Ibnu","given":"Muhamad","non-dropping-particle":"","parse-names":false,"suffix":""},{"dropping-particle":"","family":"Rahmawati","given":"Shintia","non-dropping-particle":"","parse-names":false,"suffix":""},{"dropping-particle":"","family":"Ridwansyah","given":"Risyad Sani","non-dropping-particle":"","parse-names":false,"suffix":""},{"dropping-particle":"","family":"Kariadinata","given":"Rahayu","non-dropping-particle":"","parse-names":false,"suffix":""},{"dropping-particle":"","family":"Susilawati","given":"Wati","non-dropping-particle":"","parse-names":false,"suffix":""}],"container-title":"Journal of Modern Islamic Studies and Civilization","id":"ITEM-1","issue":"03","issued":{"date-parts":[["2023"]]},"page":"124-137","title":"Influence of the Talaqi and Tahsin Methods on the Al-Qur'an Reading Ability of Santri at the Al-Falah Islamic Boarding School Nagreg Bandung","type":"article-journal","volume":"1"},"uris":["http://www.mendeley.com/documents/?uuid=63413c97-abf8-4b7a-b5e5-8f72c3ffa706"]}],"mendeley":{"formattedCitation":"(Ibnu et al., 2023)","manualFormatting":"Ibnu et al. (2023)","plainTextFormattedCitation":"(Ibnu et al., 2023)","previouslyFormattedCitation":"(Ibnu et al., 2023)"},"properties":{"noteIndex":0},"schema":"https://github.com/citation-style-language/schema/raw/master/csl-citation.json"}</w:instrText>
      </w:r>
      <w:r>
        <w:rPr>
          <w:rFonts w:ascii="Calibri" w:eastAsia="Calibri" w:hAnsi="Calibri" w:cs="Calibri"/>
          <w:sz w:val="22"/>
          <w:szCs w:val="22"/>
          <w:lang w:val="en-ID"/>
        </w:rPr>
        <w:fldChar w:fldCharType="separate"/>
      </w:r>
      <w:r w:rsidRPr="00C47E08">
        <w:rPr>
          <w:rFonts w:ascii="Calibri" w:eastAsia="Calibri" w:hAnsi="Calibri" w:cs="Calibri"/>
          <w:noProof/>
          <w:sz w:val="22"/>
          <w:szCs w:val="22"/>
          <w:lang w:val="en-ID"/>
        </w:rPr>
        <w:t xml:space="preserve">Ibnu et al. </w:t>
      </w:r>
      <w:r>
        <w:rPr>
          <w:rFonts w:ascii="Calibri" w:eastAsia="Calibri" w:hAnsi="Calibri" w:cs="Calibri"/>
          <w:noProof/>
          <w:sz w:val="22"/>
          <w:szCs w:val="22"/>
          <w:lang w:val="en-ID"/>
        </w:rPr>
        <w:t>(</w:t>
      </w:r>
      <w:r w:rsidRPr="00C47E08">
        <w:rPr>
          <w:rFonts w:ascii="Calibri" w:eastAsia="Calibri" w:hAnsi="Calibri" w:cs="Calibri"/>
          <w:noProof/>
          <w:sz w:val="22"/>
          <w:szCs w:val="22"/>
          <w:lang w:val="en-ID"/>
        </w:rPr>
        <w:t>2023)</w:t>
      </w:r>
      <w:r>
        <w:rPr>
          <w:rFonts w:ascii="Calibri" w:eastAsia="Calibri" w:hAnsi="Calibri" w:cs="Calibri"/>
          <w:sz w:val="22"/>
          <w:szCs w:val="22"/>
          <w:lang w:val="en-ID"/>
        </w:rPr>
        <w:fldChar w:fldCharType="end"/>
      </w:r>
      <w:r w:rsidRPr="00DB6FAC">
        <w:rPr>
          <w:rFonts w:ascii="Calibri" w:eastAsia="Calibri" w:hAnsi="Calibri" w:cs="Calibri"/>
          <w:sz w:val="22"/>
          <w:szCs w:val="22"/>
          <w:lang w:val="en-ID"/>
        </w:rPr>
        <w:t xml:space="preserve"> recommend the application of the talaqqi and tahsin methods, as well as the use of interactive digital media, as efforts to improve the quality of students' reading. However, this study found that special programs for practicing reading the Qur'an in schools are still very limited, so that students' learning time is very limited to religious education classes only. This contrasts with practices in schools or institutions, as observed in the study by</w:t>
      </w:r>
      <w:r>
        <w:rPr>
          <w:rFonts w:ascii="Calibri" w:eastAsia="Calibri" w:hAnsi="Calibri" w:cs="Calibri"/>
          <w:sz w:val="22"/>
          <w:szCs w:val="22"/>
          <w:lang w:val="en-ID"/>
        </w:rPr>
        <w:t xml:space="preserve"> </w:t>
      </w:r>
      <w:r>
        <w:rPr>
          <w:rFonts w:ascii="Calibri" w:eastAsia="Calibri" w:hAnsi="Calibri" w:cs="Calibri"/>
          <w:sz w:val="22"/>
          <w:szCs w:val="22"/>
          <w:lang w:val="en-ID"/>
        </w:rPr>
        <w:fldChar w:fldCharType="begin" w:fldLock="1"/>
      </w:r>
      <w:r>
        <w:rPr>
          <w:rFonts w:ascii="Calibri" w:eastAsia="Calibri" w:hAnsi="Calibri" w:cs="Calibri"/>
          <w:sz w:val="22"/>
          <w:szCs w:val="22"/>
          <w:lang w:val="en-ID"/>
        </w:rPr>
        <w:instrText>ADDIN CSL_CITATION {"citationItems":[{"id":"ITEM-1","itemData":{"DOI":"https://doi.org/10.21070/ijis.v12i2.1718","abstract":"This study aims to determine the effect of augmented reality learning media on students' motivationandlearningoutcomesinelementarysocial studies subjects.Theresearchmethod used is quantitative experimental, pre experimental design, one group pretest-posttest. The data collection technique was done by giving pretest and posttest. Data analysis techniques usinginferential statisticsincludeparametricstatisticsusingpairedsamplet-test.Theresults of the study found that there was a big influence on the use of augmented reality learning media on students' motivation and learning outcomes in elementary social studies subjects. There are two aspects of increasing students' learning motivation including intrinsic and extrinsic aspects. Meanwhile, the increase in student learning outcomes in the cognitive domain is at levels C1, C2 and C3. The results of this study suggest that teachers, especially teachers at the elementary level, make more use of technology in making learning media, especially in social studies subjects. In addition to facilitating the planting of learning concepts, the use of technology-based learning media is also useful in making learning activities more interesting and making it easier for students to understand learning materials.","author":[{"dropping-particle":"","family":"Khotimah","given":"Husnul","non-dropping-particle":"","parse-names":false,"suffix":""},{"dropping-particle":"","family":"Maslikhatun","given":"Nur","non-dropping-particle":"","parse-names":false,"suffix":""}],"container-title":"Indonesian Journal of Law and Economics Review","id":"ITEM-1","issue":"2","issued":{"date-parts":[["2024"]]},"page":"6-13","title":"Global Challenges in Elementary Qur’an Memorization Tantangan","type":"article-journal","volume":"12"},"uris":["http://www.mendeley.com/documents/?uuid=e0869403-fe37-4d4a-9246-13235a5f1033"]}],"mendeley":{"formattedCitation":"(Khotimah &amp; Maslikhatun, 2024)","manualFormatting":"Khotimah &amp; Maslikhatun (2024)","plainTextFormattedCitation":"(Khotimah &amp; Maslikhatun, 2024)","previouslyFormattedCitation":"(Khotimah &amp; Maslikhatun, 2024)"},"properties":{"noteIndex":0},"schema":"https://github.com/citation-style-language/schema/raw/master/csl-citation.json"}</w:instrText>
      </w:r>
      <w:r>
        <w:rPr>
          <w:rFonts w:ascii="Calibri" w:eastAsia="Calibri" w:hAnsi="Calibri" w:cs="Calibri"/>
          <w:sz w:val="22"/>
          <w:szCs w:val="22"/>
          <w:lang w:val="en-ID"/>
        </w:rPr>
        <w:fldChar w:fldCharType="separate"/>
      </w:r>
      <w:r w:rsidRPr="00197F87">
        <w:rPr>
          <w:rFonts w:ascii="Calibri" w:eastAsia="Calibri" w:hAnsi="Calibri" w:cs="Calibri"/>
          <w:noProof/>
          <w:sz w:val="22"/>
          <w:szCs w:val="22"/>
          <w:lang w:val="en-ID"/>
        </w:rPr>
        <w:t xml:space="preserve">Khotimah &amp; Maslikhatun </w:t>
      </w:r>
      <w:r>
        <w:rPr>
          <w:rFonts w:ascii="Calibri" w:eastAsia="Calibri" w:hAnsi="Calibri" w:cs="Calibri"/>
          <w:noProof/>
          <w:sz w:val="22"/>
          <w:szCs w:val="22"/>
          <w:lang w:val="en-ID"/>
        </w:rPr>
        <w:t>(</w:t>
      </w:r>
      <w:r w:rsidRPr="00197F87">
        <w:rPr>
          <w:rFonts w:ascii="Calibri" w:eastAsia="Calibri" w:hAnsi="Calibri" w:cs="Calibri"/>
          <w:noProof/>
          <w:sz w:val="22"/>
          <w:szCs w:val="22"/>
          <w:lang w:val="en-ID"/>
        </w:rPr>
        <w:t>2024)</w:t>
      </w:r>
      <w:r>
        <w:rPr>
          <w:rFonts w:ascii="Calibri" w:eastAsia="Calibri" w:hAnsi="Calibri" w:cs="Calibri"/>
          <w:sz w:val="22"/>
          <w:szCs w:val="22"/>
          <w:lang w:val="en-ID"/>
        </w:rPr>
        <w:fldChar w:fldCharType="end"/>
      </w:r>
      <w:r w:rsidRPr="00DB6FAC">
        <w:rPr>
          <w:rFonts w:ascii="Calibri" w:eastAsia="Calibri" w:hAnsi="Calibri" w:cs="Calibri"/>
          <w:sz w:val="22"/>
          <w:szCs w:val="22"/>
          <w:lang w:val="en-ID"/>
        </w:rPr>
        <w:t>,</w:t>
      </w:r>
      <w:r w:rsidRPr="00197F87">
        <w:t xml:space="preserve"> </w:t>
      </w:r>
      <w:r w:rsidRPr="00197F87">
        <w:rPr>
          <w:rFonts w:ascii="Calibri" w:eastAsia="Calibri" w:hAnsi="Calibri" w:cs="Calibri"/>
          <w:sz w:val="22"/>
          <w:szCs w:val="22"/>
          <w:lang w:val="en-ID"/>
        </w:rPr>
        <w:t xml:space="preserve">which states that the combination of cooperative learning and blended learning approaches not only equips students with the ability to understand the material but also </w:t>
      </w:r>
      <w:r w:rsidRPr="00197F87">
        <w:rPr>
          <w:rFonts w:ascii="Calibri" w:eastAsia="Calibri" w:hAnsi="Calibri" w:cs="Calibri"/>
          <w:sz w:val="22"/>
          <w:szCs w:val="22"/>
          <w:lang w:val="en-ID"/>
        </w:rPr>
        <w:lastRenderedPageBreak/>
        <w:t>enhances communication skills, interpersonal skills, problem-solving, critical analysis, and other skills needed by students. With the ease of technology, the limitations of classroom meetings can be overcome through blended learning.</w:t>
      </w:r>
    </w:p>
    <w:p w14:paraId="3BD5DD37" w14:textId="77777777" w:rsidR="00CC3004" w:rsidRPr="00DB6FAC" w:rsidRDefault="00CC3004" w:rsidP="00CC3004">
      <w:pPr>
        <w:ind w:firstLine="426"/>
        <w:jc w:val="both"/>
        <w:rPr>
          <w:rFonts w:ascii="Calibri" w:eastAsia="Calibri" w:hAnsi="Calibri" w:cs="Calibri"/>
          <w:sz w:val="22"/>
          <w:szCs w:val="22"/>
          <w:lang w:val="en-ID"/>
        </w:rPr>
      </w:pPr>
      <w:r w:rsidRPr="00DB6FAC">
        <w:rPr>
          <w:rFonts w:ascii="Calibri" w:eastAsia="Calibri" w:hAnsi="Calibri" w:cs="Calibri"/>
          <w:sz w:val="22"/>
          <w:szCs w:val="22"/>
          <w:lang w:val="en-ID"/>
        </w:rPr>
        <w:t>Thus, the results of this study reinforce previous findings that motivation, family support, social environment, learning facilities, and innovative learning strategies are factors that greatly determine students' success in reading the Qur'an. Therefore, efforts to improve students' ability to read the Quran in junior high schools must be comprehensive, involving schools, families, and the surrounding community, and supported by appropriate habit-forming programs and adequate learning facilities.</w:t>
      </w:r>
    </w:p>
    <w:p w14:paraId="5DCAA083" w14:textId="77777777" w:rsidR="00EE5178" w:rsidRPr="00CC3004" w:rsidRDefault="00EE5178">
      <w:pPr>
        <w:ind w:firstLine="426"/>
        <w:jc w:val="both"/>
        <w:rPr>
          <w:rFonts w:ascii="Calibri" w:eastAsia="Calibri" w:hAnsi="Calibri" w:cs="Calibri"/>
          <w:sz w:val="22"/>
          <w:szCs w:val="22"/>
          <w:lang w:val="en-ID"/>
        </w:rPr>
      </w:pPr>
    </w:p>
    <w:p w14:paraId="417C9CB4" w14:textId="77777777" w:rsidR="00EE5178" w:rsidRDefault="00A274B2">
      <w:pPr>
        <w:rPr>
          <w:rFonts w:ascii="Calibri" w:eastAsia="Calibri" w:hAnsi="Calibri" w:cs="Calibri"/>
          <w:b/>
          <w:sz w:val="22"/>
          <w:szCs w:val="22"/>
        </w:rPr>
      </w:pPr>
      <w:r>
        <w:rPr>
          <w:rFonts w:ascii="Calibri" w:eastAsia="Calibri" w:hAnsi="Calibri" w:cs="Calibri"/>
          <w:b/>
          <w:sz w:val="22"/>
          <w:szCs w:val="22"/>
        </w:rPr>
        <w:t>CONCLUSION</w:t>
      </w:r>
    </w:p>
    <w:p w14:paraId="47A59BBC" w14:textId="2E1F7680" w:rsidR="004B789A" w:rsidRPr="004B789A" w:rsidRDefault="004B789A" w:rsidP="004B789A">
      <w:pPr>
        <w:ind w:firstLine="426"/>
        <w:jc w:val="both"/>
        <w:rPr>
          <w:rFonts w:ascii="Calibri" w:eastAsia="Calibri" w:hAnsi="Calibri" w:cs="Calibri"/>
          <w:sz w:val="22"/>
          <w:szCs w:val="22"/>
          <w:lang w:val="en-ID"/>
        </w:rPr>
      </w:pPr>
      <w:r w:rsidRPr="004B789A">
        <w:rPr>
          <w:rFonts w:ascii="Calibri" w:eastAsia="Calibri" w:hAnsi="Calibri" w:cs="Calibri"/>
          <w:sz w:val="22"/>
          <w:szCs w:val="22"/>
          <w:lang w:val="en-ID"/>
        </w:rPr>
        <w:t>Based on the results of the study, the ability to read the Qur'an among junior high school students is still relatively low. This condition is influenced by the absence of a regular program for practicing reading the Qur'an at school, limited time for religious education, lack of support and guidance from parents, low student motivation, limited access to Qur'an manuscripts at home, and an unsupportive social environment. These factors are interrelated and constitute the main obstacles to the development of Quran reading skills among junior high school students.</w:t>
      </w:r>
    </w:p>
    <w:p w14:paraId="371F8ABC" w14:textId="304DA77F" w:rsidR="004B789A" w:rsidRPr="004B789A" w:rsidRDefault="004B789A" w:rsidP="004B789A">
      <w:pPr>
        <w:ind w:firstLine="426"/>
        <w:jc w:val="both"/>
        <w:rPr>
          <w:rFonts w:ascii="Calibri" w:eastAsia="Calibri" w:hAnsi="Calibri" w:cs="Calibri"/>
          <w:sz w:val="22"/>
          <w:szCs w:val="22"/>
          <w:lang w:val="en-ID"/>
        </w:rPr>
      </w:pPr>
      <w:r w:rsidRPr="004B789A">
        <w:rPr>
          <w:rFonts w:ascii="Calibri" w:eastAsia="Calibri" w:hAnsi="Calibri" w:cs="Calibri"/>
          <w:sz w:val="22"/>
          <w:szCs w:val="22"/>
          <w:lang w:val="en-ID"/>
        </w:rPr>
        <w:t>As a recommendation, schools are encouraged to initiate special programs that promote the habit of regularly reading the Quran, such as morning Quran recitation sessions or Quranic recitation classes, and provide training to teachers to enable them to apply more varied and engaging teaching methods. Parents are also encouraged to be more active in accompanying and motivating their children to read the Quran at home, at least by providing adequate time and facilities. Additionally, the community can play a role by creating a supportive social environment through joint religious activities.</w:t>
      </w:r>
    </w:p>
    <w:p w14:paraId="7C97F12C" w14:textId="1E053365" w:rsidR="00AB577C" w:rsidRPr="004B789A" w:rsidRDefault="00AB577C" w:rsidP="00AB577C">
      <w:pPr>
        <w:ind w:firstLine="426"/>
        <w:jc w:val="both"/>
        <w:rPr>
          <w:rFonts w:ascii="Calibri" w:eastAsia="Calibri" w:hAnsi="Calibri" w:cs="Calibri"/>
          <w:sz w:val="22"/>
          <w:szCs w:val="22"/>
          <w:lang w:val="en-ID"/>
        </w:rPr>
      </w:pPr>
      <w:r w:rsidRPr="00AB577C">
        <w:rPr>
          <w:rFonts w:ascii="Calibri" w:eastAsia="Calibri" w:hAnsi="Calibri" w:cs="Calibri"/>
          <w:sz w:val="22"/>
          <w:szCs w:val="22"/>
          <w:lang w:val="en-ID"/>
        </w:rPr>
        <w:t>This study has a number of limitations that need to be considered. One of them is that the study was only conducted in one junior high school, so the findings obtained cannot yet represent other schools with different characteristics. Additionally, this study did not involve parents as data sources, despite the significant role of families in supporting the process of Quran literacy. The aspect of community involvement was also not extensively explored in this study. Therefore, future research is recommended to develop and test various intervention programs, such as the use of digital media or the implementation of community-based learning models, to enhance students' Quran literacy. Furthermore, the scope of the research should be expanded to other schools with diverse backgrounds and characteristics to make the results more representative and generalizable. Future research is also expected to involve collaboration between schools, families, and communities, such as interviewing parents and community leaders, to gain a more comprehensive understanding of the factors influencing Qur'an literacy. Furthermore, exploring effective collaboration strategies between schools, families, and communities in creating a learning environment that supports the development of Quran literacy is also very important. By considering these limitations and recommendations, it is hoped that future research can provide a more comprehensive contribution to improving Quran literacy among secondary school students.</w:t>
      </w:r>
    </w:p>
    <w:p w14:paraId="252A00F3" w14:textId="77777777" w:rsidR="004B789A" w:rsidRPr="004B789A" w:rsidRDefault="004B789A" w:rsidP="004B789A">
      <w:pPr>
        <w:ind w:firstLine="426"/>
        <w:jc w:val="both"/>
        <w:rPr>
          <w:rFonts w:ascii="Calibri" w:eastAsia="Calibri" w:hAnsi="Calibri" w:cs="Calibri"/>
          <w:sz w:val="22"/>
          <w:szCs w:val="22"/>
          <w:lang w:val="en-ID"/>
        </w:rPr>
      </w:pPr>
      <w:r w:rsidRPr="004B789A">
        <w:rPr>
          <w:rFonts w:ascii="Calibri" w:eastAsia="Calibri" w:hAnsi="Calibri" w:cs="Calibri"/>
          <w:sz w:val="22"/>
          <w:szCs w:val="22"/>
          <w:lang w:val="en-ID"/>
        </w:rPr>
        <w:t>With synergy and sustained efforts from various parties, it is hoped that students' ability to read the Qur'an in junior high schools will improve, thereby supporting the development of character and the overall quality of Islamic religious education.</w:t>
      </w:r>
    </w:p>
    <w:p w14:paraId="2F29D462" w14:textId="77777777" w:rsidR="00EE5178" w:rsidRPr="004B789A" w:rsidRDefault="00EE5178">
      <w:pPr>
        <w:ind w:firstLine="426"/>
        <w:jc w:val="both"/>
        <w:rPr>
          <w:rFonts w:ascii="Calibri" w:eastAsia="Calibri" w:hAnsi="Calibri" w:cs="Calibri"/>
          <w:sz w:val="22"/>
          <w:szCs w:val="22"/>
          <w:lang w:val="en-ID"/>
        </w:rPr>
      </w:pPr>
    </w:p>
    <w:p w14:paraId="72C58831" w14:textId="77777777" w:rsidR="00EE5178" w:rsidRDefault="00A274B2">
      <w:pPr>
        <w:rPr>
          <w:rFonts w:ascii="Calibri" w:eastAsia="Calibri" w:hAnsi="Calibri" w:cs="Calibri"/>
          <w:sz w:val="22"/>
          <w:szCs w:val="22"/>
        </w:rPr>
      </w:pPr>
      <w:r>
        <w:rPr>
          <w:rFonts w:ascii="Calibri" w:eastAsia="Calibri" w:hAnsi="Calibri" w:cs="Calibri"/>
          <w:b/>
          <w:sz w:val="22"/>
          <w:szCs w:val="22"/>
        </w:rPr>
        <w:t>CONFLICT OF INTEREST</w:t>
      </w:r>
    </w:p>
    <w:p w14:paraId="07817A32" w14:textId="77777777" w:rsidR="00F968F9" w:rsidRDefault="00F968F9" w:rsidP="00F1781C">
      <w:pPr>
        <w:jc w:val="both"/>
        <w:rPr>
          <w:rFonts w:ascii="Calibri" w:eastAsia="Calibri" w:hAnsi="Calibri" w:cs="Calibri"/>
          <w:sz w:val="22"/>
          <w:szCs w:val="22"/>
        </w:rPr>
      </w:pPr>
      <w:r w:rsidRPr="00C579FB">
        <w:rPr>
          <w:rFonts w:ascii="Calibri" w:eastAsia="Calibri" w:hAnsi="Calibri" w:cs="Calibri"/>
          <w:sz w:val="22"/>
          <w:szCs w:val="22"/>
        </w:rPr>
        <w:t>The authors declared that they have no conflicts of interest.</w:t>
      </w:r>
    </w:p>
    <w:p w14:paraId="39F6972B" w14:textId="77777777" w:rsidR="00EE5178" w:rsidRDefault="00EE5178">
      <w:pPr>
        <w:jc w:val="both"/>
        <w:rPr>
          <w:rFonts w:ascii="Calibri" w:eastAsia="Calibri" w:hAnsi="Calibri" w:cs="Calibri"/>
          <w:b/>
          <w:sz w:val="22"/>
          <w:szCs w:val="22"/>
        </w:rPr>
      </w:pPr>
    </w:p>
    <w:p w14:paraId="7AC97202" w14:textId="77777777" w:rsidR="00DC5D19" w:rsidRDefault="00DC5D19">
      <w:pPr>
        <w:rPr>
          <w:rFonts w:ascii="Calibri" w:eastAsia="Calibri" w:hAnsi="Calibri" w:cs="Calibri"/>
          <w:b/>
          <w:sz w:val="22"/>
          <w:szCs w:val="22"/>
        </w:rPr>
      </w:pPr>
    </w:p>
    <w:p w14:paraId="44121D78" w14:textId="77777777" w:rsidR="00EE5178" w:rsidRDefault="00A274B2">
      <w:pPr>
        <w:rPr>
          <w:rFonts w:ascii="Calibri" w:eastAsia="Calibri" w:hAnsi="Calibri" w:cs="Calibri"/>
          <w:b/>
          <w:sz w:val="22"/>
          <w:szCs w:val="22"/>
        </w:rPr>
      </w:pPr>
      <w:bookmarkStart w:id="3" w:name="_GoBack"/>
      <w:bookmarkEnd w:id="3"/>
      <w:r>
        <w:rPr>
          <w:rFonts w:ascii="Calibri" w:eastAsia="Calibri" w:hAnsi="Calibri" w:cs="Calibri"/>
          <w:b/>
          <w:sz w:val="22"/>
          <w:szCs w:val="22"/>
        </w:rPr>
        <w:lastRenderedPageBreak/>
        <w:t>REFERENCES</w:t>
      </w:r>
    </w:p>
    <w:p w14:paraId="3FC3B94F"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Pr>
          <w:rFonts w:ascii="Calibri" w:eastAsia="Calibri" w:hAnsi="Calibri" w:cs="Calibri"/>
          <w:b/>
          <w:sz w:val="22"/>
          <w:szCs w:val="22"/>
        </w:rPr>
        <w:fldChar w:fldCharType="begin" w:fldLock="1"/>
      </w:r>
      <w:r>
        <w:rPr>
          <w:rFonts w:ascii="Calibri" w:eastAsia="Calibri" w:hAnsi="Calibri" w:cs="Calibri"/>
          <w:b/>
          <w:sz w:val="22"/>
          <w:szCs w:val="22"/>
        </w:rPr>
        <w:instrText xml:space="preserve">ADDIN Mendeley Bibliography CSL_BIBLIOGRAPHY </w:instrText>
      </w:r>
      <w:r>
        <w:rPr>
          <w:rFonts w:ascii="Calibri" w:eastAsia="Calibri" w:hAnsi="Calibri" w:cs="Calibri"/>
          <w:b/>
          <w:sz w:val="22"/>
          <w:szCs w:val="22"/>
        </w:rPr>
        <w:fldChar w:fldCharType="separate"/>
      </w:r>
      <w:r w:rsidRPr="007354F1">
        <w:rPr>
          <w:rFonts w:ascii="Calibri" w:hAnsi="Calibri" w:cs="Calibri"/>
          <w:noProof/>
          <w:sz w:val="22"/>
        </w:rPr>
        <w:t xml:space="preserve">Abdullah, N. M. S. A. N., Sabbri, F. S. M., &amp; Isa, R. A. M. (2021). Exploring Student Motivation in Quranic Memorization in Selected Islamic Secondary Schools (a Case Study). </w:t>
      </w:r>
      <w:r w:rsidRPr="007354F1">
        <w:rPr>
          <w:rFonts w:ascii="Calibri" w:hAnsi="Calibri" w:cs="Calibri"/>
          <w:i/>
          <w:iCs/>
          <w:noProof/>
          <w:sz w:val="22"/>
        </w:rPr>
        <w:t>Al-Hayat: Journal of Islamic Education</w:t>
      </w:r>
      <w:r w:rsidRPr="007354F1">
        <w:rPr>
          <w:rFonts w:ascii="Calibri" w:hAnsi="Calibri" w:cs="Calibri"/>
          <w:noProof/>
          <w:sz w:val="22"/>
        </w:rPr>
        <w:t xml:space="preserve">, </w:t>
      </w:r>
      <w:r w:rsidRPr="007354F1">
        <w:rPr>
          <w:rFonts w:ascii="Calibri" w:hAnsi="Calibri" w:cs="Calibri"/>
          <w:i/>
          <w:iCs/>
          <w:noProof/>
          <w:sz w:val="22"/>
        </w:rPr>
        <w:t>5</w:t>
      </w:r>
      <w:r w:rsidRPr="007354F1">
        <w:rPr>
          <w:rFonts w:ascii="Calibri" w:hAnsi="Calibri" w:cs="Calibri"/>
          <w:noProof/>
          <w:sz w:val="22"/>
        </w:rPr>
        <w:t xml:space="preserve">(1), 100. </w:t>
      </w:r>
      <w:hyperlink r:id="rId20" w:history="1">
        <w:r w:rsidRPr="007354F1">
          <w:rPr>
            <w:rStyle w:val="Hyperlink"/>
            <w:rFonts w:ascii="Calibri" w:hAnsi="Calibri" w:cs="Calibri"/>
            <w:noProof/>
            <w:sz w:val="22"/>
          </w:rPr>
          <w:t>https://doi.org/10.35723/ajie.v5i1.161</w:t>
        </w:r>
      </w:hyperlink>
    </w:p>
    <w:p w14:paraId="52A8ED54"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Alif, M., Nuryana, Z., Yuliana, A. T. R. D., &amp; Rahman, A. (2021). Innovative Learning Strategies and Methods to Overcome Difficulties in Reading the Qur’an. </w:t>
      </w:r>
      <w:r w:rsidRPr="007354F1">
        <w:rPr>
          <w:rFonts w:ascii="Calibri" w:hAnsi="Calibri" w:cs="Calibri"/>
          <w:i/>
          <w:iCs/>
          <w:noProof/>
          <w:sz w:val="22"/>
        </w:rPr>
        <w:t>Al-MISBAH (Jurnal Islamic Studies)</w:t>
      </w:r>
      <w:r w:rsidRPr="007354F1">
        <w:rPr>
          <w:rFonts w:ascii="Calibri" w:hAnsi="Calibri" w:cs="Calibri"/>
          <w:noProof/>
          <w:sz w:val="22"/>
        </w:rPr>
        <w:t xml:space="preserve">, </w:t>
      </w:r>
      <w:r w:rsidRPr="007354F1">
        <w:rPr>
          <w:rFonts w:ascii="Calibri" w:hAnsi="Calibri" w:cs="Calibri"/>
          <w:i/>
          <w:iCs/>
          <w:noProof/>
          <w:sz w:val="22"/>
        </w:rPr>
        <w:t>9</w:t>
      </w:r>
      <w:r w:rsidRPr="007354F1">
        <w:rPr>
          <w:rFonts w:ascii="Calibri" w:hAnsi="Calibri" w:cs="Calibri"/>
          <w:noProof/>
          <w:sz w:val="22"/>
        </w:rPr>
        <w:t>(2), 140–151.</w:t>
      </w:r>
      <w:r>
        <w:rPr>
          <w:rFonts w:ascii="Calibri" w:hAnsi="Calibri" w:cs="Calibri"/>
          <w:noProof/>
          <w:sz w:val="22"/>
        </w:rPr>
        <w:t xml:space="preserve"> </w:t>
      </w:r>
      <w:hyperlink r:id="rId21" w:history="1">
        <w:r w:rsidRPr="007354F1">
          <w:rPr>
            <w:rStyle w:val="Hyperlink"/>
            <w:rFonts w:ascii="Calibri" w:hAnsi="Calibri" w:cs="Calibri"/>
            <w:noProof/>
            <w:sz w:val="22"/>
          </w:rPr>
          <w:t>https://doi.org/10.26555/almisbah.v9i2.3908</w:t>
        </w:r>
      </w:hyperlink>
    </w:p>
    <w:p w14:paraId="35A5A35B"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Ansyah, A., Amin, S. J., Marhani, M., Nurhayati, N., &amp; Herdah, H. (2025). Analisis Kemampuan Baca Al Qur ’ an dan Faktor yang Mempengaruhinya di Madrasah Aliyah DDI Attaufiq Padaelo Kecamatan Tanete Rilau Kabupaten Barru. </w:t>
      </w:r>
      <w:r w:rsidRPr="007354F1">
        <w:rPr>
          <w:rFonts w:ascii="Calibri" w:hAnsi="Calibri" w:cs="Calibri"/>
          <w:i/>
          <w:iCs/>
          <w:noProof/>
          <w:sz w:val="22"/>
        </w:rPr>
        <w:t>Iqra: Jurnal Ilmu Kependidikan Dan Keislaman</w:t>
      </w:r>
      <w:r w:rsidRPr="007354F1">
        <w:rPr>
          <w:rFonts w:ascii="Calibri" w:hAnsi="Calibri" w:cs="Calibri"/>
          <w:noProof/>
          <w:sz w:val="22"/>
        </w:rPr>
        <w:t xml:space="preserve">, </w:t>
      </w:r>
      <w:r w:rsidRPr="007354F1">
        <w:rPr>
          <w:rFonts w:ascii="Calibri" w:hAnsi="Calibri" w:cs="Calibri"/>
          <w:i/>
          <w:iCs/>
          <w:noProof/>
          <w:sz w:val="22"/>
        </w:rPr>
        <w:t>20</w:t>
      </w:r>
      <w:r w:rsidRPr="007354F1">
        <w:rPr>
          <w:rFonts w:ascii="Calibri" w:hAnsi="Calibri" w:cs="Calibri"/>
          <w:noProof/>
          <w:sz w:val="22"/>
        </w:rPr>
        <w:t xml:space="preserve">(01), 127–133. </w:t>
      </w:r>
      <w:hyperlink r:id="rId22" w:history="1">
        <w:r w:rsidRPr="007354F1">
          <w:rPr>
            <w:rStyle w:val="Hyperlink"/>
            <w:rFonts w:ascii="Calibri" w:hAnsi="Calibri" w:cs="Calibri"/>
            <w:noProof/>
            <w:sz w:val="22"/>
          </w:rPr>
          <w:t>https://doi.org/10.56338/iqra.v20i1.6868</w:t>
        </w:r>
      </w:hyperlink>
    </w:p>
    <w:p w14:paraId="2E78ACDB"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Asmariyah, A., Supriyanto, A., &amp; Sobri, A. Y. (2024). The Influence of Learning Facilities on Students’ Academic Achievement at the International Islamic Boarding School Malang. </w:t>
      </w:r>
      <w:r w:rsidRPr="007354F1">
        <w:rPr>
          <w:rFonts w:ascii="Calibri" w:hAnsi="Calibri" w:cs="Calibri"/>
          <w:i/>
          <w:iCs/>
          <w:noProof/>
          <w:sz w:val="22"/>
        </w:rPr>
        <w:t>JMSP: Jurnal Manajemen Dan Supervisi Pendidikan</w:t>
      </w:r>
      <w:r w:rsidRPr="007354F1">
        <w:rPr>
          <w:rFonts w:ascii="Calibri" w:hAnsi="Calibri" w:cs="Calibri"/>
          <w:noProof/>
          <w:sz w:val="22"/>
        </w:rPr>
        <w:t xml:space="preserve">, </w:t>
      </w:r>
      <w:r w:rsidRPr="007354F1">
        <w:rPr>
          <w:rFonts w:ascii="Calibri" w:hAnsi="Calibri" w:cs="Calibri"/>
          <w:i/>
          <w:iCs/>
          <w:noProof/>
          <w:sz w:val="22"/>
        </w:rPr>
        <w:t>9</w:t>
      </w:r>
      <w:r w:rsidRPr="007354F1">
        <w:rPr>
          <w:rFonts w:ascii="Calibri" w:hAnsi="Calibri" w:cs="Calibri"/>
          <w:noProof/>
          <w:sz w:val="22"/>
        </w:rPr>
        <w:t xml:space="preserve">(1), 164–168. </w:t>
      </w:r>
      <w:hyperlink r:id="rId23" w:history="1">
        <w:r w:rsidRPr="007354F1">
          <w:rPr>
            <w:rStyle w:val="Hyperlink"/>
            <w:rFonts w:ascii="Calibri" w:hAnsi="Calibri" w:cs="Calibri"/>
            <w:noProof/>
            <w:sz w:val="22"/>
          </w:rPr>
          <w:t>https://doi.org/http://dx.doi.org/10.17977/um025v9i12024p60</w:t>
        </w:r>
      </w:hyperlink>
    </w:p>
    <w:p w14:paraId="668C1C62"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Astuti, M. S., &amp; Abdullah. (2024). Pendampingan Penerapan Metode Tilawati Pada Siswa Tadarus MAN Kota Palangka Raya. </w:t>
      </w:r>
      <w:r w:rsidRPr="007354F1">
        <w:rPr>
          <w:rFonts w:ascii="Calibri" w:hAnsi="Calibri" w:cs="Calibri"/>
          <w:i/>
          <w:iCs/>
          <w:noProof/>
          <w:sz w:val="22"/>
        </w:rPr>
        <w:t>Pengabdian Masyarakat Bangsa</w:t>
      </w:r>
      <w:r w:rsidRPr="007354F1">
        <w:rPr>
          <w:rFonts w:ascii="Calibri" w:hAnsi="Calibri" w:cs="Calibri"/>
          <w:noProof/>
          <w:sz w:val="22"/>
        </w:rPr>
        <w:t xml:space="preserve">, </w:t>
      </w:r>
      <w:r w:rsidRPr="007354F1">
        <w:rPr>
          <w:rFonts w:ascii="Calibri" w:hAnsi="Calibri" w:cs="Calibri"/>
          <w:i/>
          <w:iCs/>
          <w:noProof/>
          <w:sz w:val="22"/>
        </w:rPr>
        <w:t>2</w:t>
      </w:r>
      <w:r w:rsidRPr="007354F1">
        <w:rPr>
          <w:rFonts w:ascii="Calibri" w:hAnsi="Calibri" w:cs="Calibri"/>
          <w:noProof/>
          <w:sz w:val="22"/>
        </w:rPr>
        <w:t xml:space="preserve">(8), 3614–3621. </w:t>
      </w:r>
      <w:hyperlink r:id="rId24" w:history="1">
        <w:r w:rsidRPr="007354F1">
          <w:rPr>
            <w:rStyle w:val="Hyperlink"/>
            <w:rFonts w:ascii="Calibri" w:hAnsi="Calibri" w:cs="Calibri"/>
            <w:noProof/>
            <w:sz w:val="22"/>
          </w:rPr>
          <w:t>https://doi.org/10.59837/jpmba.v2i8.1527</w:t>
        </w:r>
      </w:hyperlink>
    </w:p>
    <w:p w14:paraId="2829B8BD"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Azwar, B. (2024). Collaborative Efforts of Counseling Teachers in Enhancing Self- Happiness Among Qur ’ an- Memorizing Students : A Case Study. </w:t>
      </w:r>
      <w:r w:rsidRPr="007354F1">
        <w:rPr>
          <w:rFonts w:ascii="Calibri" w:hAnsi="Calibri" w:cs="Calibri"/>
          <w:i/>
          <w:iCs/>
          <w:noProof/>
          <w:sz w:val="22"/>
        </w:rPr>
        <w:t>Al-Ishlah: Jurnal Pendidikan</w:t>
      </w:r>
      <w:r w:rsidRPr="007354F1">
        <w:rPr>
          <w:rFonts w:ascii="Calibri" w:hAnsi="Calibri" w:cs="Calibri"/>
          <w:noProof/>
          <w:sz w:val="22"/>
        </w:rPr>
        <w:t xml:space="preserve">, </w:t>
      </w:r>
      <w:r w:rsidRPr="007354F1">
        <w:rPr>
          <w:rFonts w:ascii="Calibri" w:hAnsi="Calibri" w:cs="Calibri"/>
          <w:i/>
          <w:iCs/>
          <w:noProof/>
          <w:sz w:val="22"/>
        </w:rPr>
        <w:t>16</w:t>
      </w:r>
      <w:r w:rsidRPr="007354F1">
        <w:rPr>
          <w:rFonts w:ascii="Calibri" w:hAnsi="Calibri" w:cs="Calibri"/>
          <w:noProof/>
          <w:sz w:val="22"/>
        </w:rPr>
        <w:t xml:space="preserve">(4), 5243–5253. </w:t>
      </w:r>
      <w:hyperlink r:id="rId25" w:history="1">
        <w:r w:rsidRPr="007354F1">
          <w:rPr>
            <w:rStyle w:val="Hyperlink"/>
            <w:rFonts w:ascii="Calibri" w:hAnsi="Calibri" w:cs="Calibri"/>
            <w:noProof/>
            <w:sz w:val="22"/>
          </w:rPr>
          <w:t>https://doi.org/10.35445/alishlah.v16i4.5763</w:t>
        </w:r>
      </w:hyperlink>
    </w:p>
    <w:p w14:paraId="63A0FC08"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Elvina, E., Ritonga, M., &amp; Lahmi, A. (2021). Islamic Parenting and Motivation from Parents and Its Influence on Children’s Ability to Read the Quran. </w:t>
      </w:r>
      <w:r w:rsidRPr="007354F1">
        <w:rPr>
          <w:rFonts w:ascii="Calibri" w:hAnsi="Calibri" w:cs="Calibri"/>
          <w:i/>
          <w:iCs/>
          <w:noProof/>
          <w:sz w:val="22"/>
        </w:rPr>
        <w:t>Jurnal Tarbiyatuna</w:t>
      </w:r>
      <w:r w:rsidRPr="007354F1">
        <w:rPr>
          <w:rFonts w:ascii="Calibri" w:hAnsi="Calibri" w:cs="Calibri"/>
          <w:noProof/>
          <w:sz w:val="22"/>
        </w:rPr>
        <w:t xml:space="preserve">, </w:t>
      </w:r>
      <w:r w:rsidRPr="007354F1">
        <w:rPr>
          <w:rFonts w:ascii="Calibri" w:hAnsi="Calibri" w:cs="Calibri"/>
          <w:i/>
          <w:iCs/>
          <w:noProof/>
          <w:sz w:val="22"/>
        </w:rPr>
        <w:t>12</w:t>
      </w:r>
      <w:r w:rsidRPr="007354F1">
        <w:rPr>
          <w:rFonts w:ascii="Calibri" w:hAnsi="Calibri" w:cs="Calibri"/>
          <w:noProof/>
          <w:sz w:val="22"/>
        </w:rPr>
        <w:t xml:space="preserve">(2), 121–134. </w:t>
      </w:r>
      <w:hyperlink r:id="rId26" w:history="1">
        <w:r w:rsidRPr="007354F1">
          <w:rPr>
            <w:rStyle w:val="Hyperlink"/>
            <w:rFonts w:ascii="Calibri" w:hAnsi="Calibri" w:cs="Calibri"/>
            <w:noProof/>
            <w:sz w:val="22"/>
          </w:rPr>
          <w:t>https://doi.org/10.31603/tarbiyatuna.v12i2.4996</w:t>
        </w:r>
      </w:hyperlink>
    </w:p>
    <w:p w14:paraId="31F1A2C9"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Fathullah Faris, A., Nur Hadis Rahman, S. A., Talhah Jima, M., Sobri Faisal, M., &amp; Raehan Mustafa, R. (2023). Quranic Reading Proficiency and Factors Affecting Mastery Quran among Public University Students. </w:t>
      </w:r>
      <w:r w:rsidRPr="007354F1">
        <w:rPr>
          <w:rFonts w:ascii="Calibri" w:hAnsi="Calibri" w:cs="Calibri"/>
          <w:i/>
          <w:iCs/>
          <w:noProof/>
          <w:sz w:val="22"/>
        </w:rPr>
        <w:t>BITARA International Journal of Civilizational Studies and Human Sciences</w:t>
      </w:r>
      <w:r w:rsidRPr="007354F1">
        <w:rPr>
          <w:rFonts w:ascii="Calibri" w:hAnsi="Calibri" w:cs="Calibri"/>
          <w:noProof/>
          <w:sz w:val="22"/>
        </w:rPr>
        <w:t xml:space="preserve">, </w:t>
      </w:r>
      <w:r w:rsidRPr="007354F1">
        <w:rPr>
          <w:rFonts w:ascii="Calibri" w:hAnsi="Calibri" w:cs="Calibri"/>
          <w:i/>
          <w:iCs/>
          <w:noProof/>
          <w:sz w:val="22"/>
        </w:rPr>
        <w:t>6</w:t>
      </w:r>
      <w:r w:rsidRPr="007354F1">
        <w:rPr>
          <w:rFonts w:ascii="Calibri" w:hAnsi="Calibri" w:cs="Calibri"/>
          <w:noProof/>
          <w:sz w:val="22"/>
        </w:rPr>
        <w:t xml:space="preserve">(4), 127–138. </w:t>
      </w:r>
      <w:hyperlink r:id="rId27" w:history="1">
        <w:r w:rsidRPr="007354F1">
          <w:rPr>
            <w:rStyle w:val="Hyperlink"/>
            <w:rFonts w:ascii="Calibri" w:hAnsi="Calibri" w:cs="Calibri"/>
            <w:noProof/>
            <w:sz w:val="22"/>
          </w:rPr>
          <w:t>https://doi.org/https://bitarajournal.com/index.php/bitarajournal/article/view/415</w:t>
        </w:r>
      </w:hyperlink>
    </w:p>
    <w:p w14:paraId="1DFED7BB"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Febrian, L. M., Florentina, T., Qolbi, A. D., &amp; Efendi, S. (2025). Peningkatan Kemampuan Membaca Al-Qur’an Melalui Pengajaran Mengaji pada Siswa SMPN 4 Kota Bengkulu. </w:t>
      </w:r>
      <w:r w:rsidRPr="007354F1">
        <w:rPr>
          <w:rFonts w:ascii="Calibri" w:hAnsi="Calibri" w:cs="Calibri"/>
          <w:i/>
          <w:iCs/>
          <w:noProof/>
          <w:sz w:val="22"/>
        </w:rPr>
        <w:t>Fakultas KEguruan Dan Imu Pendidikan Universitas Kristen Indonesia</w:t>
      </w:r>
      <w:r w:rsidRPr="007354F1">
        <w:rPr>
          <w:rFonts w:ascii="Calibri" w:hAnsi="Calibri" w:cs="Calibri"/>
          <w:noProof/>
          <w:sz w:val="22"/>
        </w:rPr>
        <w:t xml:space="preserve">, </w:t>
      </w:r>
      <w:r w:rsidRPr="007354F1">
        <w:rPr>
          <w:rFonts w:ascii="Calibri" w:hAnsi="Calibri" w:cs="Calibri"/>
          <w:i/>
          <w:iCs/>
          <w:noProof/>
          <w:sz w:val="22"/>
        </w:rPr>
        <w:t>6</w:t>
      </w:r>
      <w:r w:rsidRPr="007354F1">
        <w:rPr>
          <w:rFonts w:ascii="Calibri" w:hAnsi="Calibri" w:cs="Calibri"/>
          <w:noProof/>
          <w:sz w:val="22"/>
        </w:rPr>
        <w:t xml:space="preserve">(1), 648–661. </w:t>
      </w:r>
      <w:hyperlink r:id="rId28" w:history="1">
        <w:r w:rsidRPr="007354F1">
          <w:rPr>
            <w:rStyle w:val="Hyperlink"/>
            <w:rFonts w:ascii="Calibri" w:hAnsi="Calibri" w:cs="Calibri"/>
            <w:noProof/>
            <w:sz w:val="22"/>
          </w:rPr>
          <w:t>https://doi.org/https://ejurnals.com/ojs/index.php/jdpn/article/view/1397/1637</w:t>
        </w:r>
      </w:hyperlink>
    </w:p>
    <w:p w14:paraId="54A6EB30"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Fitri Rahmawati, I., Asma, Assyifa Saputri, K., Nisa, L., Siti Nurjanah, L., Nurhayati, R., Qamara Azizah, R., Sulistiawati, &amp; Paloh, S. (2024). Kemampuan Membaca Al-Quran Berdasarkan Gender Pada Fakultas Kedokteran Angkatan 2023 di Universitas Sultan Ageng Tirtayasa. </w:t>
      </w:r>
      <w:r w:rsidRPr="007354F1">
        <w:rPr>
          <w:rFonts w:ascii="Calibri" w:hAnsi="Calibri" w:cs="Calibri"/>
          <w:i/>
          <w:iCs/>
          <w:noProof/>
          <w:sz w:val="22"/>
        </w:rPr>
        <w:t>Jurnal IHSAN Jurnal Pendidikan Islam</w:t>
      </w:r>
      <w:r w:rsidRPr="007354F1">
        <w:rPr>
          <w:rFonts w:ascii="Calibri" w:hAnsi="Calibri" w:cs="Calibri"/>
          <w:noProof/>
          <w:sz w:val="22"/>
        </w:rPr>
        <w:t xml:space="preserve">, </w:t>
      </w:r>
      <w:r w:rsidRPr="007354F1">
        <w:rPr>
          <w:rFonts w:ascii="Calibri" w:hAnsi="Calibri" w:cs="Calibri"/>
          <w:i/>
          <w:iCs/>
          <w:noProof/>
          <w:sz w:val="22"/>
        </w:rPr>
        <w:t>2</w:t>
      </w:r>
      <w:r w:rsidRPr="007354F1">
        <w:rPr>
          <w:rFonts w:ascii="Calibri" w:hAnsi="Calibri" w:cs="Calibri"/>
          <w:noProof/>
          <w:sz w:val="22"/>
        </w:rPr>
        <w:t xml:space="preserve">(2), 52–59. </w:t>
      </w:r>
      <w:hyperlink r:id="rId29" w:history="1">
        <w:r w:rsidRPr="007354F1">
          <w:rPr>
            <w:rStyle w:val="Hyperlink"/>
            <w:rFonts w:ascii="Calibri" w:hAnsi="Calibri" w:cs="Calibri"/>
            <w:noProof/>
            <w:sz w:val="22"/>
          </w:rPr>
          <w:t>https://doi.org/10.61104/ihsan.v2i2.117</w:t>
        </w:r>
      </w:hyperlink>
    </w:p>
    <w:p w14:paraId="22996A81"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Fitriani, F., Susanti, W., &amp; Putri, N. (2024). Five Challenges of Quran Learning in Islamic Education Institutions. </w:t>
      </w:r>
      <w:r w:rsidRPr="007354F1">
        <w:rPr>
          <w:rFonts w:ascii="Calibri" w:hAnsi="Calibri" w:cs="Calibri"/>
          <w:i/>
          <w:iCs/>
          <w:noProof/>
          <w:sz w:val="22"/>
        </w:rPr>
        <w:t>Journal of Quranic Teaching and Learning</w:t>
      </w:r>
      <w:r w:rsidRPr="007354F1">
        <w:rPr>
          <w:rFonts w:ascii="Calibri" w:hAnsi="Calibri" w:cs="Calibri"/>
          <w:noProof/>
          <w:sz w:val="22"/>
        </w:rPr>
        <w:t xml:space="preserve">, </w:t>
      </w:r>
      <w:r w:rsidRPr="007354F1">
        <w:rPr>
          <w:rFonts w:ascii="Calibri" w:hAnsi="Calibri" w:cs="Calibri"/>
          <w:i/>
          <w:iCs/>
          <w:noProof/>
          <w:sz w:val="22"/>
        </w:rPr>
        <w:t>1</w:t>
      </w:r>
      <w:r w:rsidRPr="007354F1">
        <w:rPr>
          <w:rFonts w:ascii="Calibri" w:hAnsi="Calibri" w:cs="Calibri"/>
          <w:noProof/>
          <w:sz w:val="22"/>
        </w:rPr>
        <w:t xml:space="preserve">(1), 1–10. </w:t>
      </w:r>
      <w:hyperlink r:id="rId30" w:history="1">
        <w:r w:rsidRPr="007354F1">
          <w:rPr>
            <w:rStyle w:val="Hyperlink"/>
            <w:rFonts w:ascii="Calibri" w:hAnsi="Calibri" w:cs="Calibri"/>
            <w:noProof/>
            <w:sz w:val="22"/>
          </w:rPr>
          <w:t>https://doi.org/https://joqer.intischolar.id/index.php/joqer/article/view/4</w:t>
        </w:r>
      </w:hyperlink>
    </w:p>
    <w:p w14:paraId="72979713"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Gaya, S., &amp; Ahmad, N. (2024). The Concept of Islamic Identity and Its Importance for Muslim Youth. </w:t>
      </w:r>
      <w:r w:rsidRPr="007354F1">
        <w:rPr>
          <w:rFonts w:ascii="Calibri" w:hAnsi="Calibri" w:cs="Calibri"/>
          <w:i/>
          <w:iCs/>
          <w:noProof/>
          <w:sz w:val="22"/>
        </w:rPr>
        <w:t>Jurnal Hukum Pidana Dan Ketatanegaraan</w:t>
      </w:r>
      <w:r w:rsidRPr="007354F1">
        <w:rPr>
          <w:rFonts w:ascii="Calibri" w:hAnsi="Calibri" w:cs="Calibri"/>
          <w:noProof/>
          <w:sz w:val="22"/>
        </w:rPr>
        <w:t xml:space="preserve">, </w:t>
      </w:r>
      <w:r w:rsidRPr="007354F1">
        <w:rPr>
          <w:rFonts w:ascii="Calibri" w:hAnsi="Calibri" w:cs="Calibri"/>
          <w:i/>
          <w:iCs/>
          <w:noProof/>
          <w:sz w:val="22"/>
        </w:rPr>
        <w:t>13</w:t>
      </w:r>
      <w:r w:rsidRPr="007354F1">
        <w:rPr>
          <w:rFonts w:ascii="Calibri" w:hAnsi="Calibri" w:cs="Calibri"/>
          <w:noProof/>
          <w:sz w:val="22"/>
        </w:rPr>
        <w:t xml:space="preserve">(1), 34–49. </w:t>
      </w:r>
      <w:hyperlink r:id="rId31" w:history="1">
        <w:r w:rsidRPr="007354F1">
          <w:rPr>
            <w:rStyle w:val="Hyperlink"/>
            <w:rFonts w:ascii="Calibri" w:hAnsi="Calibri" w:cs="Calibri"/>
            <w:noProof/>
            <w:sz w:val="22"/>
          </w:rPr>
          <w:t>https://doi.org/10.24252/al-daulah.</w:t>
        </w:r>
      </w:hyperlink>
    </w:p>
    <w:p w14:paraId="3C8BA74B"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Hanafi, M. A., Somad, M. A., Romli, U., &amp; Almasi, M. (2024). Strategy to Improve al-Quran Reading and Writing Skills in Public Schools. </w:t>
      </w:r>
      <w:r w:rsidRPr="007354F1">
        <w:rPr>
          <w:rFonts w:ascii="Calibri" w:hAnsi="Calibri" w:cs="Calibri"/>
          <w:i/>
          <w:iCs/>
          <w:noProof/>
          <w:sz w:val="22"/>
        </w:rPr>
        <w:t>Journal of Islamic Education Research</w:t>
      </w:r>
      <w:r w:rsidRPr="007354F1">
        <w:rPr>
          <w:rFonts w:ascii="Calibri" w:hAnsi="Calibri" w:cs="Calibri"/>
          <w:noProof/>
          <w:sz w:val="22"/>
        </w:rPr>
        <w:t xml:space="preserve">, </w:t>
      </w:r>
      <w:r w:rsidRPr="007354F1">
        <w:rPr>
          <w:rFonts w:ascii="Calibri" w:hAnsi="Calibri" w:cs="Calibri"/>
          <w:i/>
          <w:iCs/>
          <w:noProof/>
          <w:sz w:val="22"/>
        </w:rPr>
        <w:t>5</w:t>
      </w:r>
      <w:r w:rsidRPr="007354F1">
        <w:rPr>
          <w:rFonts w:ascii="Calibri" w:hAnsi="Calibri" w:cs="Calibri"/>
          <w:noProof/>
          <w:sz w:val="22"/>
        </w:rPr>
        <w:t>(3), 239–252.</w:t>
      </w:r>
      <w:r>
        <w:rPr>
          <w:rFonts w:ascii="Calibri" w:hAnsi="Calibri" w:cs="Calibri"/>
          <w:noProof/>
          <w:sz w:val="22"/>
        </w:rPr>
        <w:t xml:space="preserve"> </w:t>
      </w:r>
      <w:hyperlink r:id="rId32" w:history="1">
        <w:r w:rsidRPr="007354F1">
          <w:rPr>
            <w:rStyle w:val="Hyperlink"/>
            <w:rFonts w:ascii="Calibri" w:hAnsi="Calibri" w:cs="Calibri"/>
            <w:noProof/>
            <w:sz w:val="22"/>
          </w:rPr>
          <w:t>https://doi.org/10.35719/jier.v5i3.450</w:t>
        </w:r>
      </w:hyperlink>
    </w:p>
    <w:p w14:paraId="549DB798"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Hanafi, M., &amp; Pohan, S. (2024). Enhancing Quranic Literacy : The Role Teacher and Parental Involvement in Quran Learning. </w:t>
      </w:r>
      <w:r w:rsidRPr="007354F1">
        <w:rPr>
          <w:rFonts w:ascii="Calibri" w:hAnsi="Calibri" w:cs="Calibri"/>
          <w:i/>
          <w:iCs/>
          <w:noProof/>
          <w:sz w:val="22"/>
        </w:rPr>
        <w:t>FIKROTUNA; Jurnal Pendidikan Dan Manajemen Islam</w:t>
      </w:r>
      <w:r w:rsidRPr="007354F1">
        <w:rPr>
          <w:rFonts w:ascii="Calibri" w:hAnsi="Calibri" w:cs="Calibri"/>
          <w:noProof/>
          <w:sz w:val="22"/>
        </w:rPr>
        <w:t xml:space="preserve">, </w:t>
      </w:r>
      <w:r w:rsidRPr="007354F1">
        <w:rPr>
          <w:rFonts w:ascii="Calibri" w:hAnsi="Calibri" w:cs="Calibri"/>
          <w:i/>
          <w:iCs/>
          <w:noProof/>
          <w:sz w:val="22"/>
        </w:rPr>
        <w:t>14</w:t>
      </w:r>
      <w:r w:rsidRPr="007354F1">
        <w:rPr>
          <w:rFonts w:ascii="Calibri" w:hAnsi="Calibri" w:cs="Calibri"/>
          <w:noProof/>
          <w:sz w:val="22"/>
        </w:rPr>
        <w:t xml:space="preserve">(2), 189–202. </w:t>
      </w:r>
      <w:hyperlink r:id="rId33" w:history="1">
        <w:r w:rsidRPr="007354F1">
          <w:rPr>
            <w:rStyle w:val="Hyperlink"/>
            <w:rFonts w:ascii="Calibri" w:hAnsi="Calibri" w:cs="Calibri"/>
            <w:noProof/>
            <w:sz w:val="22"/>
          </w:rPr>
          <w:t>https://doi.org/http://dx.doi.org/10.32806/jf.v14i2.611</w:t>
        </w:r>
      </w:hyperlink>
    </w:p>
    <w:p w14:paraId="419929C5"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lastRenderedPageBreak/>
        <w:t xml:space="preserve">Harta, M. (2020). Role of Al-Qur’an Read and Write Ability toward Achievement of Islamic Education for Students at SDN Inpres 12/79 Kampuno Attobaja Village Barebbo Sub-District Bone Regency. </w:t>
      </w:r>
      <w:r w:rsidRPr="007354F1">
        <w:rPr>
          <w:rFonts w:ascii="Calibri" w:hAnsi="Calibri" w:cs="Calibri"/>
          <w:i/>
          <w:iCs/>
          <w:noProof/>
          <w:sz w:val="22"/>
        </w:rPr>
        <w:t>Journal of Islam and Science</w:t>
      </w:r>
      <w:r w:rsidRPr="007354F1">
        <w:rPr>
          <w:rFonts w:ascii="Calibri" w:hAnsi="Calibri" w:cs="Calibri"/>
          <w:noProof/>
          <w:sz w:val="22"/>
        </w:rPr>
        <w:t xml:space="preserve">, </w:t>
      </w:r>
      <w:r w:rsidRPr="007354F1">
        <w:rPr>
          <w:rFonts w:ascii="Calibri" w:hAnsi="Calibri" w:cs="Calibri"/>
          <w:i/>
          <w:iCs/>
          <w:noProof/>
          <w:sz w:val="22"/>
        </w:rPr>
        <w:t>7</w:t>
      </w:r>
      <w:r w:rsidRPr="007354F1">
        <w:rPr>
          <w:rFonts w:ascii="Calibri" w:hAnsi="Calibri" w:cs="Calibri"/>
          <w:noProof/>
          <w:sz w:val="22"/>
        </w:rPr>
        <w:t xml:space="preserve">(1), 49–54. </w:t>
      </w:r>
      <w:hyperlink r:id="rId34" w:history="1">
        <w:r w:rsidRPr="007354F1">
          <w:rPr>
            <w:rStyle w:val="Hyperlink"/>
            <w:rFonts w:ascii="Calibri" w:hAnsi="Calibri" w:cs="Calibri"/>
            <w:noProof/>
            <w:sz w:val="22"/>
          </w:rPr>
          <w:t>https://doi.org/10.24252/jis.v7i1.15035</w:t>
        </w:r>
      </w:hyperlink>
    </w:p>
    <w:p w14:paraId="2BE44575"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Hartati, Z. (2017). </w:t>
      </w:r>
      <w:r w:rsidRPr="007354F1">
        <w:rPr>
          <w:rFonts w:ascii="Calibri" w:hAnsi="Calibri" w:cs="Calibri"/>
          <w:i/>
          <w:iCs/>
          <w:noProof/>
          <w:sz w:val="22"/>
        </w:rPr>
        <w:t>Tasyrifin Karim, Merintis Pengembangan Baca Al-Qur‟An Untuk Orang Dewasa</w:t>
      </w:r>
      <w:r w:rsidRPr="007354F1">
        <w:rPr>
          <w:rFonts w:ascii="Calibri" w:hAnsi="Calibri" w:cs="Calibri"/>
          <w:noProof/>
          <w:sz w:val="22"/>
        </w:rPr>
        <w:t xml:space="preserve"> (1st ed.). FTIK IAIN Salatiga.</w:t>
      </w:r>
      <w:r>
        <w:rPr>
          <w:rFonts w:ascii="Calibri" w:hAnsi="Calibri" w:cs="Calibri"/>
          <w:noProof/>
          <w:sz w:val="22"/>
        </w:rPr>
        <w:t xml:space="preserve"> </w:t>
      </w:r>
      <w:hyperlink r:id="rId35" w:history="1">
        <w:r w:rsidRPr="007354F1">
          <w:rPr>
            <w:rStyle w:val="Hyperlink"/>
            <w:rFonts w:ascii="Calibri" w:hAnsi="Calibri" w:cs="Calibri"/>
            <w:noProof/>
            <w:sz w:val="22"/>
          </w:rPr>
          <w:t>http://digilib.iain-palangkaraya.ac.id/1669/1/PROCEEDINGS%20ICIIES%20-Book%20TWO.pdf</w:t>
        </w:r>
      </w:hyperlink>
    </w:p>
    <w:p w14:paraId="6F4959A4"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Hartati, Z., Emawati, E., &amp; Dalimunte, L. A. (2016). Metodologi Baca Tulis Al-Quran: Refleksi Belajar Al-Quran Pada Mahasiswa IAIN Palangkaraya. </w:t>
      </w:r>
      <w:r w:rsidRPr="007354F1">
        <w:rPr>
          <w:rFonts w:ascii="Calibri" w:hAnsi="Calibri" w:cs="Calibri"/>
          <w:i/>
          <w:iCs/>
          <w:noProof/>
          <w:sz w:val="22"/>
        </w:rPr>
        <w:t>MISYKAT: Jurnal Ilmu-Ilmu Al-Quran, Hadist, Syari’ah Dan Tarbiyah</w:t>
      </w:r>
      <w:r w:rsidRPr="007354F1">
        <w:rPr>
          <w:rFonts w:ascii="Calibri" w:hAnsi="Calibri" w:cs="Calibri"/>
          <w:noProof/>
          <w:sz w:val="22"/>
        </w:rPr>
        <w:t xml:space="preserve">, </w:t>
      </w:r>
      <w:r w:rsidRPr="007354F1">
        <w:rPr>
          <w:rFonts w:ascii="Calibri" w:hAnsi="Calibri" w:cs="Calibri"/>
          <w:i/>
          <w:iCs/>
          <w:noProof/>
          <w:sz w:val="22"/>
        </w:rPr>
        <w:t>1</w:t>
      </w:r>
      <w:r w:rsidRPr="007354F1">
        <w:rPr>
          <w:rFonts w:ascii="Calibri" w:hAnsi="Calibri" w:cs="Calibri"/>
          <w:noProof/>
          <w:sz w:val="22"/>
        </w:rPr>
        <w:t xml:space="preserve">(1), 181. </w:t>
      </w:r>
      <w:hyperlink r:id="rId36" w:history="1">
        <w:r w:rsidRPr="007354F1">
          <w:rPr>
            <w:rStyle w:val="Hyperlink"/>
            <w:rFonts w:ascii="Calibri" w:hAnsi="Calibri" w:cs="Calibri"/>
            <w:noProof/>
            <w:sz w:val="22"/>
          </w:rPr>
          <w:t>https://doi.org/10.33511/misykat.v1n1.181</w:t>
        </w:r>
      </w:hyperlink>
    </w:p>
    <w:p w14:paraId="6C00D4FF"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Hidayat, S., Amirsyah, A., Affandi, L., &amp; Rahmat, M. (2022). The Impact of the Digital Al-Qur’an Thematic Learning Model on the Learning Achievement of Santri at Islamic Boarding Schools in Bandung Regency. </w:t>
      </w:r>
      <w:r w:rsidRPr="007354F1">
        <w:rPr>
          <w:rFonts w:ascii="Calibri" w:hAnsi="Calibri" w:cs="Calibri"/>
          <w:i/>
          <w:iCs/>
          <w:noProof/>
          <w:sz w:val="22"/>
        </w:rPr>
        <w:t>QALAMUNA: Jurnal Pendidikan, Sosial, Dan Agama</w:t>
      </w:r>
      <w:r w:rsidRPr="007354F1">
        <w:rPr>
          <w:rFonts w:ascii="Calibri" w:hAnsi="Calibri" w:cs="Calibri"/>
          <w:noProof/>
          <w:sz w:val="22"/>
        </w:rPr>
        <w:t xml:space="preserve">, </w:t>
      </w:r>
      <w:r w:rsidRPr="007354F1">
        <w:rPr>
          <w:rFonts w:ascii="Calibri" w:hAnsi="Calibri" w:cs="Calibri"/>
          <w:i/>
          <w:iCs/>
          <w:noProof/>
          <w:sz w:val="22"/>
        </w:rPr>
        <w:t>14</w:t>
      </w:r>
      <w:r w:rsidRPr="007354F1">
        <w:rPr>
          <w:rFonts w:ascii="Calibri" w:hAnsi="Calibri" w:cs="Calibri"/>
          <w:noProof/>
          <w:sz w:val="22"/>
        </w:rPr>
        <w:t xml:space="preserve">(2), 947–960. </w:t>
      </w:r>
      <w:hyperlink r:id="rId37" w:history="1">
        <w:r w:rsidRPr="007354F1">
          <w:rPr>
            <w:rStyle w:val="Hyperlink"/>
            <w:rFonts w:ascii="Calibri" w:hAnsi="Calibri" w:cs="Calibri"/>
            <w:noProof/>
            <w:sz w:val="22"/>
          </w:rPr>
          <w:t>https://doi.org/10.37680/qalamuna.v14i2.3764</w:t>
        </w:r>
      </w:hyperlink>
    </w:p>
    <w:p w14:paraId="76F8348B"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Ibnu, M., Rahmawati, S., Ridwansyah, R. S., Kariadinata, R., &amp; Susilawati, W. (2023). Influence of the Talaqi and Tahsin Methods on the Al-Qur’an Reading Ability of Santri at the Al-Falah Islamic Boarding School Nagreg Bandung. </w:t>
      </w:r>
      <w:r w:rsidRPr="007354F1">
        <w:rPr>
          <w:rFonts w:ascii="Calibri" w:hAnsi="Calibri" w:cs="Calibri"/>
          <w:i/>
          <w:iCs/>
          <w:noProof/>
          <w:sz w:val="22"/>
        </w:rPr>
        <w:t>Journal of Modern Islamic Studies and Civilization</w:t>
      </w:r>
      <w:r w:rsidRPr="007354F1">
        <w:rPr>
          <w:rFonts w:ascii="Calibri" w:hAnsi="Calibri" w:cs="Calibri"/>
          <w:noProof/>
          <w:sz w:val="22"/>
        </w:rPr>
        <w:t xml:space="preserve">, </w:t>
      </w:r>
      <w:r w:rsidRPr="007354F1">
        <w:rPr>
          <w:rFonts w:ascii="Calibri" w:hAnsi="Calibri" w:cs="Calibri"/>
          <w:i/>
          <w:iCs/>
          <w:noProof/>
          <w:sz w:val="22"/>
        </w:rPr>
        <w:t>1</w:t>
      </w:r>
      <w:r w:rsidRPr="007354F1">
        <w:rPr>
          <w:rFonts w:ascii="Calibri" w:hAnsi="Calibri" w:cs="Calibri"/>
          <w:noProof/>
          <w:sz w:val="22"/>
        </w:rPr>
        <w:t xml:space="preserve">(03), 124–137. </w:t>
      </w:r>
      <w:hyperlink r:id="rId38" w:history="1">
        <w:r w:rsidRPr="007354F1">
          <w:rPr>
            <w:rStyle w:val="Hyperlink"/>
            <w:rFonts w:ascii="Calibri" w:hAnsi="Calibri" w:cs="Calibri"/>
            <w:noProof/>
            <w:sz w:val="22"/>
          </w:rPr>
          <w:t>https://doi.org/10.59653/jmisc.v1i03.280</w:t>
        </w:r>
      </w:hyperlink>
    </w:p>
    <w:p w14:paraId="2B04A6B8" w14:textId="77777777" w:rsidR="00DB5D7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Ihsanuddin, I., Abdullah, A., &amp; Jainah, J. (2024). Pelatihan Menulis Huruf Hijaiyah melalui Media Papan Flanel untuk Meningkatkan Keterampilan Menulis Huruf Hijaiyah Siswa di SD IT Al-Ghazali Palangka Raya. </w:t>
      </w:r>
      <w:r w:rsidRPr="007354F1">
        <w:rPr>
          <w:rFonts w:ascii="Calibri" w:hAnsi="Calibri" w:cs="Calibri"/>
          <w:i/>
          <w:iCs/>
          <w:noProof/>
          <w:sz w:val="22"/>
        </w:rPr>
        <w:t>Jurnal Pelayanan Masyarakat</w:t>
      </w:r>
      <w:r w:rsidRPr="007354F1">
        <w:rPr>
          <w:rFonts w:ascii="Calibri" w:hAnsi="Calibri" w:cs="Calibri"/>
          <w:noProof/>
          <w:sz w:val="22"/>
        </w:rPr>
        <w:t xml:space="preserve">, </w:t>
      </w:r>
      <w:r w:rsidRPr="007354F1">
        <w:rPr>
          <w:rFonts w:ascii="Calibri" w:hAnsi="Calibri" w:cs="Calibri"/>
          <w:i/>
          <w:iCs/>
          <w:noProof/>
          <w:sz w:val="22"/>
        </w:rPr>
        <w:t>1</w:t>
      </w:r>
      <w:r w:rsidRPr="007354F1">
        <w:rPr>
          <w:rFonts w:ascii="Calibri" w:hAnsi="Calibri" w:cs="Calibri"/>
          <w:noProof/>
          <w:sz w:val="22"/>
        </w:rPr>
        <w:t>(4), 99–206.</w:t>
      </w:r>
      <w:r>
        <w:rPr>
          <w:rFonts w:ascii="Calibri" w:hAnsi="Calibri" w:cs="Calibri"/>
          <w:noProof/>
          <w:sz w:val="22"/>
        </w:rPr>
        <w:t xml:space="preserve"> </w:t>
      </w:r>
      <w:hyperlink r:id="rId39" w:history="1">
        <w:r w:rsidRPr="007354F1">
          <w:rPr>
            <w:rStyle w:val="Hyperlink"/>
            <w:rFonts w:ascii="Calibri" w:hAnsi="Calibri" w:cs="Calibri"/>
            <w:noProof/>
            <w:sz w:val="22"/>
          </w:rPr>
          <w:t>https://doi.org/10.62951/jpm.v1i4.921</w:t>
        </w:r>
      </w:hyperlink>
    </w:p>
    <w:p w14:paraId="17D7E80D" w14:textId="52848FF3"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DB5D71">
        <w:rPr>
          <w:rFonts w:ascii="Calibri" w:hAnsi="Calibri" w:cs="Calibri"/>
          <w:noProof/>
          <w:sz w:val="22"/>
        </w:rPr>
        <w:t xml:space="preserve">Japeri, J., Rahmi, E., Izmi, N., Irayanti, I., &amp; Eki Saputri, T. (2023). Identifying Student Motivation for Learning Islamic Education in Indonesian Senior High Schools. </w:t>
      </w:r>
      <w:r w:rsidRPr="00DB5D71">
        <w:rPr>
          <w:rFonts w:ascii="Calibri" w:hAnsi="Calibri" w:cs="Calibri"/>
          <w:i/>
          <w:iCs/>
          <w:noProof/>
          <w:sz w:val="22"/>
        </w:rPr>
        <w:t>Ahlussunnah: Journal of Islamic Education</w:t>
      </w:r>
      <w:r w:rsidRPr="00DB5D71">
        <w:rPr>
          <w:rFonts w:ascii="Calibri" w:hAnsi="Calibri" w:cs="Calibri"/>
          <w:noProof/>
          <w:sz w:val="22"/>
        </w:rPr>
        <w:t xml:space="preserve">, </w:t>
      </w:r>
      <w:r w:rsidRPr="00DB5D71">
        <w:rPr>
          <w:rFonts w:ascii="Calibri" w:hAnsi="Calibri" w:cs="Calibri"/>
          <w:i/>
          <w:iCs/>
          <w:noProof/>
          <w:sz w:val="22"/>
        </w:rPr>
        <w:t>2</w:t>
      </w:r>
      <w:r w:rsidRPr="00DB5D71">
        <w:rPr>
          <w:rFonts w:ascii="Calibri" w:hAnsi="Calibri" w:cs="Calibri"/>
          <w:noProof/>
          <w:sz w:val="22"/>
        </w:rPr>
        <w:t xml:space="preserve">(1), 26–34. </w:t>
      </w:r>
      <w:hyperlink r:id="rId40" w:history="1">
        <w:r w:rsidRPr="00DB5D71">
          <w:rPr>
            <w:rStyle w:val="Hyperlink"/>
            <w:rFonts w:ascii="Calibri" w:hAnsi="Calibri" w:cs="Calibri"/>
            <w:noProof/>
            <w:sz w:val="22"/>
          </w:rPr>
          <w:t>https://doi.org/10.58485/jie.v2i1.188</w:t>
        </w:r>
      </w:hyperlink>
    </w:p>
    <w:p w14:paraId="6C7C9BCF"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Kahfi, N. S., Raharjo, R., &amp; Ikhrom, I. (2024). The Effect of Qiroati and Non Qiroati Methods in Improving Students ’ Ability to Read and Write the Qur ’ an at TPQ Al-Ikhlas. </w:t>
      </w:r>
      <w:r w:rsidRPr="007354F1">
        <w:rPr>
          <w:rFonts w:ascii="Calibri" w:hAnsi="Calibri" w:cs="Calibri"/>
          <w:i/>
          <w:iCs/>
          <w:noProof/>
          <w:sz w:val="22"/>
        </w:rPr>
        <w:t>Journal on Education</w:t>
      </w:r>
      <w:r w:rsidRPr="007354F1">
        <w:rPr>
          <w:rFonts w:ascii="Calibri" w:hAnsi="Calibri" w:cs="Calibri"/>
          <w:noProof/>
          <w:sz w:val="22"/>
        </w:rPr>
        <w:t xml:space="preserve">, </w:t>
      </w:r>
      <w:r w:rsidRPr="007354F1">
        <w:rPr>
          <w:rFonts w:ascii="Calibri" w:hAnsi="Calibri" w:cs="Calibri"/>
          <w:i/>
          <w:iCs/>
          <w:noProof/>
          <w:sz w:val="22"/>
        </w:rPr>
        <w:t>6</w:t>
      </w:r>
      <w:r w:rsidRPr="007354F1">
        <w:rPr>
          <w:rFonts w:ascii="Calibri" w:hAnsi="Calibri" w:cs="Calibri"/>
          <w:noProof/>
          <w:sz w:val="22"/>
        </w:rPr>
        <w:t xml:space="preserve">(4), 22416–22423. </w:t>
      </w:r>
      <w:hyperlink r:id="rId41" w:history="1">
        <w:r w:rsidRPr="00562236">
          <w:rPr>
            <w:rStyle w:val="Hyperlink"/>
            <w:rFonts w:ascii="Calibri" w:hAnsi="Calibri" w:cs="Calibri"/>
            <w:noProof/>
            <w:sz w:val="22"/>
          </w:rPr>
          <w:t>https://doi.org/10.31004/joe.v6i4.6413</w:t>
        </w:r>
      </w:hyperlink>
    </w:p>
    <w:p w14:paraId="03725288"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Kartika, M., &amp; Alfurqan. (2022). Problematika Peserta Didik dalam Membaca Al-Qur’an di SMP Negeri 1 Lembah Melintang. </w:t>
      </w:r>
      <w:r w:rsidRPr="007354F1">
        <w:rPr>
          <w:rFonts w:ascii="Calibri" w:hAnsi="Calibri" w:cs="Calibri"/>
          <w:i/>
          <w:iCs/>
          <w:noProof/>
          <w:sz w:val="22"/>
        </w:rPr>
        <w:t>Jurnal Pendidikan Tambusai</w:t>
      </w:r>
      <w:r w:rsidRPr="007354F1">
        <w:rPr>
          <w:rFonts w:ascii="Calibri" w:hAnsi="Calibri" w:cs="Calibri"/>
          <w:noProof/>
          <w:sz w:val="22"/>
        </w:rPr>
        <w:t xml:space="preserve">, </w:t>
      </w:r>
      <w:r w:rsidRPr="007354F1">
        <w:rPr>
          <w:rFonts w:ascii="Calibri" w:hAnsi="Calibri" w:cs="Calibri"/>
          <w:i/>
          <w:iCs/>
          <w:noProof/>
          <w:sz w:val="22"/>
        </w:rPr>
        <w:t>6</w:t>
      </w:r>
      <w:r w:rsidRPr="007354F1">
        <w:rPr>
          <w:rFonts w:ascii="Calibri" w:hAnsi="Calibri" w:cs="Calibri"/>
          <w:noProof/>
          <w:sz w:val="22"/>
        </w:rPr>
        <w:t xml:space="preserve">(2), 9378–9385. </w:t>
      </w:r>
      <w:hyperlink r:id="rId42" w:history="1">
        <w:r w:rsidRPr="007354F1">
          <w:rPr>
            <w:rStyle w:val="Hyperlink"/>
            <w:rFonts w:ascii="Calibri" w:hAnsi="Calibri" w:cs="Calibri"/>
            <w:noProof/>
            <w:sz w:val="22"/>
          </w:rPr>
          <w:t>https://doi.org/10.31004/jptam.v6i2.3895</w:t>
        </w:r>
      </w:hyperlink>
    </w:p>
    <w:p w14:paraId="53D4E879"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Khoirurrizki, A. A., &amp; Bustam, B. M. R. (2023). Analysis of Low Interest in Reading the Qur’an in School Age Children. </w:t>
      </w:r>
      <w:r w:rsidRPr="007354F1">
        <w:rPr>
          <w:rFonts w:ascii="Calibri" w:hAnsi="Calibri" w:cs="Calibri"/>
          <w:i/>
          <w:iCs/>
          <w:noProof/>
          <w:sz w:val="22"/>
        </w:rPr>
        <w:t>Jurnal Ilmu Pendidikan Dan Sosial</w:t>
      </w:r>
      <w:r w:rsidRPr="007354F1">
        <w:rPr>
          <w:rFonts w:ascii="Calibri" w:hAnsi="Calibri" w:cs="Calibri"/>
          <w:noProof/>
          <w:sz w:val="22"/>
        </w:rPr>
        <w:t xml:space="preserve">, </w:t>
      </w:r>
      <w:r w:rsidRPr="007354F1">
        <w:rPr>
          <w:rFonts w:ascii="Calibri" w:hAnsi="Calibri" w:cs="Calibri"/>
          <w:i/>
          <w:iCs/>
          <w:noProof/>
          <w:sz w:val="22"/>
        </w:rPr>
        <w:t>1</w:t>
      </w:r>
      <w:r w:rsidRPr="007354F1">
        <w:rPr>
          <w:rFonts w:ascii="Calibri" w:hAnsi="Calibri" w:cs="Calibri"/>
          <w:noProof/>
          <w:sz w:val="22"/>
        </w:rPr>
        <w:t xml:space="preserve">(1), 47–59. </w:t>
      </w:r>
      <w:hyperlink r:id="rId43" w:history="1">
        <w:r w:rsidRPr="007354F1">
          <w:rPr>
            <w:rStyle w:val="Hyperlink"/>
            <w:rFonts w:ascii="Calibri" w:hAnsi="Calibri" w:cs="Calibri"/>
            <w:noProof/>
            <w:sz w:val="22"/>
          </w:rPr>
          <w:t>https://doi.org/10.58540/jipsi.v1i1.12</w:t>
        </w:r>
      </w:hyperlink>
    </w:p>
    <w:p w14:paraId="29E74539"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Khotimah, H., &amp; Maslikhatun, N. (2024). Global Challenges in Elementary Qur’an Memorization Tantangan. </w:t>
      </w:r>
      <w:r w:rsidRPr="007354F1">
        <w:rPr>
          <w:rFonts w:ascii="Calibri" w:hAnsi="Calibri" w:cs="Calibri"/>
          <w:i/>
          <w:iCs/>
          <w:noProof/>
          <w:sz w:val="22"/>
        </w:rPr>
        <w:t>Indonesian Journal of Law and Economics Review</w:t>
      </w:r>
      <w:r w:rsidRPr="007354F1">
        <w:rPr>
          <w:rFonts w:ascii="Calibri" w:hAnsi="Calibri" w:cs="Calibri"/>
          <w:noProof/>
          <w:sz w:val="22"/>
        </w:rPr>
        <w:t xml:space="preserve">, </w:t>
      </w:r>
      <w:r w:rsidRPr="007354F1">
        <w:rPr>
          <w:rFonts w:ascii="Calibri" w:hAnsi="Calibri" w:cs="Calibri"/>
          <w:i/>
          <w:iCs/>
          <w:noProof/>
          <w:sz w:val="22"/>
        </w:rPr>
        <w:t>12</w:t>
      </w:r>
      <w:r w:rsidRPr="007354F1">
        <w:rPr>
          <w:rFonts w:ascii="Calibri" w:hAnsi="Calibri" w:cs="Calibri"/>
          <w:noProof/>
          <w:sz w:val="22"/>
        </w:rPr>
        <w:t xml:space="preserve">(2), 6–13. </w:t>
      </w:r>
      <w:hyperlink r:id="rId44" w:history="1">
        <w:r w:rsidRPr="007354F1">
          <w:rPr>
            <w:rStyle w:val="Hyperlink"/>
            <w:rFonts w:ascii="Calibri" w:hAnsi="Calibri" w:cs="Calibri"/>
            <w:noProof/>
            <w:sz w:val="22"/>
          </w:rPr>
          <w:t>https://doi.org/10.21070/ijis.v12i2.1718</w:t>
        </w:r>
      </w:hyperlink>
    </w:p>
    <w:p w14:paraId="28575853"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Kusmita, R., Hartati, Z., &amp; Alfajar, E. (2024). Pendampingan Metode Tilawati Untuk Meningkatkan Kualitas Membaca Al-Qur’an Di SMPN 8 Palangkaraya. </w:t>
      </w:r>
      <w:r w:rsidRPr="007354F1">
        <w:rPr>
          <w:rFonts w:ascii="Calibri" w:hAnsi="Calibri" w:cs="Calibri"/>
          <w:i/>
          <w:iCs/>
          <w:noProof/>
          <w:sz w:val="22"/>
        </w:rPr>
        <w:t>GEMBIRA</w:t>
      </w:r>
      <w:r w:rsidRPr="007354F1">
        <w:rPr>
          <w:rFonts w:ascii="Calibri" w:hAnsi="Calibri" w:cs="Calibri"/>
          <w:noProof/>
          <w:sz w:val="22"/>
        </w:rPr>
        <w:t xml:space="preserve">, </w:t>
      </w:r>
      <w:r w:rsidRPr="007354F1">
        <w:rPr>
          <w:rFonts w:ascii="Calibri" w:hAnsi="Calibri" w:cs="Calibri"/>
          <w:i/>
          <w:iCs/>
          <w:noProof/>
          <w:sz w:val="22"/>
        </w:rPr>
        <w:t>2</w:t>
      </w:r>
      <w:r w:rsidRPr="007354F1">
        <w:rPr>
          <w:rFonts w:ascii="Calibri" w:hAnsi="Calibri" w:cs="Calibri"/>
          <w:noProof/>
          <w:sz w:val="22"/>
        </w:rPr>
        <w:t>(5), 1761–1769.</w:t>
      </w:r>
      <w:r>
        <w:rPr>
          <w:rFonts w:ascii="Calibri" w:hAnsi="Calibri" w:cs="Calibri"/>
          <w:noProof/>
          <w:sz w:val="22"/>
        </w:rPr>
        <w:t xml:space="preserve"> </w:t>
      </w:r>
      <w:hyperlink r:id="rId45" w:history="1">
        <w:r w:rsidRPr="00562236">
          <w:rPr>
            <w:rStyle w:val="Hyperlink"/>
            <w:rFonts w:ascii="Calibri" w:hAnsi="Calibri" w:cs="Calibri"/>
            <w:noProof/>
            <w:sz w:val="22"/>
          </w:rPr>
          <w:t>https://gembirapkm.my.id/index.php/jurnal/article/view/678</w:t>
        </w:r>
      </w:hyperlink>
    </w:p>
    <w:p w14:paraId="39E43FF8"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Lutfi, S., Sardimi, S., &amp; Norhidayah, S. (2024). </w:t>
      </w:r>
      <w:r w:rsidRPr="007354F1">
        <w:rPr>
          <w:rFonts w:ascii="Calibri" w:hAnsi="Calibri" w:cs="Calibri"/>
          <w:i/>
          <w:iCs/>
          <w:noProof/>
          <w:sz w:val="22"/>
        </w:rPr>
        <w:t>Al Qur an Hadits</w:t>
      </w:r>
      <w:r w:rsidRPr="007354F1">
        <w:rPr>
          <w:rFonts w:ascii="Calibri" w:hAnsi="Calibri" w:cs="Calibri"/>
          <w:noProof/>
          <w:sz w:val="22"/>
        </w:rPr>
        <w:t xml:space="preserve"> (S. Surawan (ed.); Pertama). K-Media. </w:t>
      </w:r>
      <w:hyperlink r:id="rId46" w:history="1">
        <w:r w:rsidRPr="00562236">
          <w:rPr>
            <w:rStyle w:val="Hyperlink"/>
            <w:rFonts w:ascii="Calibri" w:hAnsi="Calibri" w:cs="Calibri"/>
            <w:noProof/>
            <w:sz w:val="22"/>
          </w:rPr>
          <w:t>https://doi.org/http://digilib.iain-palangkaraya.ac.id/5571/1/Buku%20Pembelajaran%20Al-qur%E2%80%99an%20Hadits_Saiful%20Lutfi%2C%20dkk.pdf</w:t>
        </w:r>
      </w:hyperlink>
    </w:p>
    <w:p w14:paraId="0476E271"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Mansur, M. (2024). The Impact of Quranic Education on Student Development at Amaliah Ciawi Bogor High School. </w:t>
      </w:r>
      <w:r w:rsidRPr="007354F1">
        <w:rPr>
          <w:rFonts w:ascii="Calibri" w:hAnsi="Calibri" w:cs="Calibri"/>
          <w:i/>
          <w:iCs/>
          <w:noProof/>
          <w:sz w:val="22"/>
        </w:rPr>
        <w:t>Journal of Education: Development and Review (JEDAR)</w:t>
      </w:r>
      <w:r w:rsidRPr="007354F1">
        <w:rPr>
          <w:rFonts w:ascii="Calibri" w:hAnsi="Calibri" w:cs="Calibri"/>
          <w:noProof/>
          <w:sz w:val="22"/>
        </w:rPr>
        <w:t xml:space="preserve">, </w:t>
      </w:r>
      <w:r w:rsidRPr="007354F1">
        <w:rPr>
          <w:rFonts w:ascii="Calibri" w:hAnsi="Calibri" w:cs="Calibri"/>
          <w:i/>
          <w:iCs/>
          <w:noProof/>
          <w:sz w:val="22"/>
        </w:rPr>
        <w:t>1</w:t>
      </w:r>
      <w:r w:rsidRPr="007354F1">
        <w:rPr>
          <w:rFonts w:ascii="Calibri" w:hAnsi="Calibri" w:cs="Calibri"/>
          <w:noProof/>
          <w:sz w:val="22"/>
        </w:rPr>
        <w:t>(2), 84–88.</w:t>
      </w:r>
      <w:r>
        <w:rPr>
          <w:rFonts w:ascii="Calibri" w:hAnsi="Calibri" w:cs="Calibri"/>
          <w:noProof/>
          <w:sz w:val="22"/>
        </w:rPr>
        <w:t xml:space="preserve"> </w:t>
      </w:r>
      <w:hyperlink r:id="rId47" w:history="1">
        <w:r w:rsidRPr="00562236">
          <w:rPr>
            <w:rStyle w:val="Hyperlink"/>
            <w:rFonts w:ascii="Calibri" w:hAnsi="Calibri" w:cs="Calibri"/>
            <w:noProof/>
            <w:sz w:val="22"/>
          </w:rPr>
          <w:t>https://doi.org/https://pub.ruangrosadi.com/jurnal-ilmiah/index.php/jedar/article/view/22</w:t>
        </w:r>
      </w:hyperlink>
    </w:p>
    <w:p w14:paraId="5FD9B841"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Miles, M. B., &amp; Huberman, A. M. (1994). Qualitative Data Analysis. In </w:t>
      </w:r>
      <w:r w:rsidRPr="007354F1">
        <w:rPr>
          <w:rFonts w:ascii="Calibri" w:hAnsi="Calibri" w:cs="Calibri"/>
          <w:i/>
          <w:iCs/>
          <w:noProof/>
          <w:sz w:val="22"/>
        </w:rPr>
        <w:t>Sage Publication</w:t>
      </w:r>
      <w:r w:rsidRPr="007354F1">
        <w:rPr>
          <w:rFonts w:ascii="Calibri" w:hAnsi="Calibri" w:cs="Calibri"/>
          <w:noProof/>
          <w:sz w:val="22"/>
        </w:rPr>
        <w:t xml:space="preserve"> (Second </w:t>
      </w:r>
      <w:r w:rsidRPr="007354F1">
        <w:rPr>
          <w:rFonts w:ascii="Calibri" w:hAnsi="Calibri" w:cs="Calibri"/>
          <w:noProof/>
          <w:sz w:val="22"/>
        </w:rPr>
        <w:lastRenderedPageBreak/>
        <w:t xml:space="preserve">Edi). Sage Publications. </w:t>
      </w:r>
      <w:hyperlink r:id="rId48" w:history="1">
        <w:r w:rsidRPr="00562236">
          <w:rPr>
            <w:rStyle w:val="Hyperlink"/>
            <w:rFonts w:ascii="Calibri" w:hAnsi="Calibri" w:cs="Calibri"/>
            <w:noProof/>
            <w:sz w:val="22"/>
          </w:rPr>
          <w:t>https://doi.org/https://vivauniversity.wordpress.com/wp-content/uploads/2013/11/milesandhuberman1994.pdf</w:t>
        </w:r>
      </w:hyperlink>
    </w:p>
    <w:p w14:paraId="3E7E8016"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Moleong, L. J. (2017). </w:t>
      </w:r>
      <w:r w:rsidRPr="007354F1">
        <w:rPr>
          <w:rFonts w:ascii="Calibri" w:hAnsi="Calibri" w:cs="Calibri"/>
          <w:i/>
          <w:iCs/>
          <w:noProof/>
          <w:sz w:val="22"/>
        </w:rPr>
        <w:t>Metodologi Penelitian Kualitatif</w:t>
      </w:r>
      <w:r w:rsidRPr="007354F1">
        <w:rPr>
          <w:rFonts w:ascii="Calibri" w:hAnsi="Calibri" w:cs="Calibri"/>
          <w:noProof/>
          <w:sz w:val="22"/>
        </w:rPr>
        <w:t xml:space="preserve"> (36th ed.). Remaja Rosdakarya. </w:t>
      </w:r>
      <w:hyperlink r:id="rId49" w:history="1">
        <w:r w:rsidRPr="00562236">
          <w:rPr>
            <w:rStyle w:val="Hyperlink"/>
            <w:rFonts w:ascii="Calibri" w:hAnsi="Calibri" w:cs="Calibri"/>
            <w:noProof/>
            <w:sz w:val="22"/>
          </w:rPr>
          <w:t>https://doi.org/https://inlislite.uin-suska.ac.id/opac/detail-opac?id=12221</w:t>
        </w:r>
      </w:hyperlink>
    </w:p>
    <w:p w14:paraId="1604AA1B"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Mubi, Z. A., Hussin, H., &amp; Mohamad, S. (2024). A Literature Highlight on Teachers Competency Level in Teaching Special Class on Quranic Recitation and Memorization Skills (KKQ). </w:t>
      </w:r>
      <w:r w:rsidRPr="007354F1">
        <w:rPr>
          <w:rFonts w:ascii="Calibri" w:hAnsi="Calibri" w:cs="Calibri"/>
          <w:i/>
          <w:iCs/>
          <w:noProof/>
          <w:sz w:val="22"/>
        </w:rPr>
        <w:t>Jurnal Pendidikan Agama Islam</w:t>
      </w:r>
      <w:r w:rsidRPr="007354F1">
        <w:rPr>
          <w:rFonts w:ascii="Calibri" w:hAnsi="Calibri" w:cs="Calibri"/>
          <w:noProof/>
          <w:sz w:val="22"/>
        </w:rPr>
        <w:t xml:space="preserve">, </w:t>
      </w:r>
      <w:r w:rsidRPr="007354F1">
        <w:rPr>
          <w:rFonts w:ascii="Calibri" w:hAnsi="Calibri" w:cs="Calibri"/>
          <w:i/>
          <w:iCs/>
          <w:noProof/>
          <w:sz w:val="22"/>
        </w:rPr>
        <w:t>17</w:t>
      </w:r>
      <w:r w:rsidRPr="007354F1">
        <w:rPr>
          <w:rFonts w:ascii="Calibri" w:hAnsi="Calibri" w:cs="Calibri"/>
          <w:noProof/>
          <w:sz w:val="22"/>
        </w:rPr>
        <w:t xml:space="preserve">(2), 346–363. </w:t>
      </w:r>
      <w:hyperlink r:id="rId50" w:history="1">
        <w:r w:rsidRPr="00562236">
          <w:rPr>
            <w:rStyle w:val="Hyperlink"/>
            <w:rFonts w:ascii="Calibri" w:hAnsi="Calibri" w:cs="Calibri"/>
            <w:noProof/>
            <w:sz w:val="22"/>
          </w:rPr>
          <w:t>https://doi.org/10.14421/jpai.v21i2.8238</w:t>
        </w:r>
      </w:hyperlink>
    </w:p>
    <w:p w14:paraId="4BFE86AE"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Munawaroh, A., Munawir, M., &amp; Pavytha, V. I. (2023). Kurangnya Minat Remaja Dalam Belajar Al-Qur’an Akibat Pengaruh Canggihnya Teknologi Informasi. </w:t>
      </w:r>
      <w:r w:rsidRPr="007354F1">
        <w:rPr>
          <w:rFonts w:ascii="Calibri" w:hAnsi="Calibri" w:cs="Calibri"/>
          <w:i/>
          <w:iCs/>
          <w:noProof/>
          <w:sz w:val="22"/>
        </w:rPr>
        <w:t>Al-Mau’izhoh</w:t>
      </w:r>
      <w:r w:rsidRPr="007354F1">
        <w:rPr>
          <w:rFonts w:ascii="Calibri" w:hAnsi="Calibri" w:cs="Calibri"/>
          <w:noProof/>
          <w:sz w:val="22"/>
        </w:rPr>
        <w:t xml:space="preserve">, </w:t>
      </w:r>
      <w:r w:rsidRPr="007354F1">
        <w:rPr>
          <w:rFonts w:ascii="Calibri" w:hAnsi="Calibri" w:cs="Calibri"/>
          <w:i/>
          <w:iCs/>
          <w:noProof/>
          <w:sz w:val="22"/>
        </w:rPr>
        <w:t>5</w:t>
      </w:r>
      <w:r w:rsidRPr="007354F1">
        <w:rPr>
          <w:rFonts w:ascii="Calibri" w:hAnsi="Calibri" w:cs="Calibri"/>
          <w:noProof/>
          <w:sz w:val="22"/>
        </w:rPr>
        <w:t xml:space="preserve">(2), 460–475. </w:t>
      </w:r>
      <w:hyperlink r:id="rId51" w:history="1">
        <w:r w:rsidRPr="00562236">
          <w:rPr>
            <w:rStyle w:val="Hyperlink"/>
            <w:rFonts w:ascii="Calibri" w:hAnsi="Calibri" w:cs="Calibri"/>
            <w:noProof/>
            <w:sz w:val="22"/>
          </w:rPr>
          <w:t>https://doi.org/10.31949/am.v5i2.7535</w:t>
        </w:r>
      </w:hyperlink>
    </w:p>
    <w:p w14:paraId="7E8195E0"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Munzir, M. (2023). Motivational Influences and Challenges in Quranic Recitation Proficiency: A Study Among Islamic Educational Teacher Training Department State Islamic University Ar-Raniry Banda Aceh Students. </w:t>
      </w:r>
      <w:r w:rsidRPr="007354F1">
        <w:rPr>
          <w:rFonts w:ascii="Calibri" w:hAnsi="Calibri" w:cs="Calibri"/>
          <w:i/>
          <w:iCs/>
          <w:noProof/>
          <w:sz w:val="22"/>
        </w:rPr>
        <w:t>Jurnal Mudarrisuna: Media Kajian Pendidikan Agama Islam</w:t>
      </w:r>
      <w:r w:rsidRPr="007354F1">
        <w:rPr>
          <w:rFonts w:ascii="Calibri" w:hAnsi="Calibri" w:cs="Calibri"/>
          <w:noProof/>
          <w:sz w:val="22"/>
        </w:rPr>
        <w:t xml:space="preserve">, </w:t>
      </w:r>
      <w:r w:rsidRPr="007354F1">
        <w:rPr>
          <w:rFonts w:ascii="Calibri" w:hAnsi="Calibri" w:cs="Calibri"/>
          <w:i/>
          <w:iCs/>
          <w:noProof/>
          <w:sz w:val="22"/>
        </w:rPr>
        <w:t>13</w:t>
      </w:r>
      <w:r w:rsidRPr="007354F1">
        <w:rPr>
          <w:rFonts w:ascii="Calibri" w:hAnsi="Calibri" w:cs="Calibri"/>
          <w:noProof/>
          <w:sz w:val="22"/>
        </w:rPr>
        <w:t xml:space="preserve">(2), 262. </w:t>
      </w:r>
      <w:hyperlink r:id="rId52" w:history="1">
        <w:r w:rsidRPr="00562236">
          <w:rPr>
            <w:rStyle w:val="Hyperlink"/>
            <w:rFonts w:ascii="Calibri" w:hAnsi="Calibri" w:cs="Calibri"/>
            <w:noProof/>
            <w:sz w:val="22"/>
          </w:rPr>
          <w:t>https://doi.org/10.22373/jm.v13i2.22103</w:t>
        </w:r>
      </w:hyperlink>
    </w:p>
    <w:p w14:paraId="4C5FBC51"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Muthmainah, M., &amp; Usman, A. H. (2022). Family support for young Ḥāfiẓ Al-Qur’ān. </w:t>
      </w:r>
      <w:r w:rsidRPr="007354F1">
        <w:rPr>
          <w:rFonts w:ascii="Calibri" w:hAnsi="Calibri" w:cs="Calibri"/>
          <w:i/>
          <w:iCs/>
          <w:noProof/>
          <w:sz w:val="22"/>
        </w:rPr>
        <w:t>Journal of Early Childhood Care and Education</w:t>
      </w:r>
      <w:r w:rsidRPr="007354F1">
        <w:rPr>
          <w:rFonts w:ascii="Calibri" w:hAnsi="Calibri" w:cs="Calibri"/>
          <w:noProof/>
          <w:sz w:val="22"/>
        </w:rPr>
        <w:t xml:space="preserve">, </w:t>
      </w:r>
      <w:r w:rsidRPr="007354F1">
        <w:rPr>
          <w:rFonts w:ascii="Calibri" w:hAnsi="Calibri" w:cs="Calibri"/>
          <w:i/>
          <w:iCs/>
          <w:noProof/>
          <w:sz w:val="22"/>
        </w:rPr>
        <w:t>5</w:t>
      </w:r>
      <w:r w:rsidRPr="007354F1">
        <w:rPr>
          <w:rFonts w:ascii="Calibri" w:hAnsi="Calibri" w:cs="Calibri"/>
          <w:noProof/>
          <w:sz w:val="22"/>
        </w:rPr>
        <w:t xml:space="preserve">(1), 27–44. </w:t>
      </w:r>
      <w:hyperlink r:id="rId53" w:history="1">
        <w:r w:rsidRPr="00562236">
          <w:rPr>
            <w:rStyle w:val="Hyperlink"/>
            <w:rFonts w:ascii="Calibri" w:hAnsi="Calibri" w:cs="Calibri"/>
            <w:noProof/>
            <w:sz w:val="22"/>
          </w:rPr>
          <w:t>https://doi.org/10.26555/jecce.v5i1.5974</w:t>
        </w:r>
      </w:hyperlink>
    </w:p>
    <w:p w14:paraId="0FC858B4"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Nasution, M. R. (2024). Asbāb al - Nuzūl Al-Qur ’ an and its Relevance to Islamic Education. </w:t>
      </w:r>
      <w:r w:rsidRPr="007354F1">
        <w:rPr>
          <w:rFonts w:ascii="Calibri" w:hAnsi="Calibri" w:cs="Calibri"/>
          <w:i/>
          <w:iCs/>
          <w:noProof/>
          <w:sz w:val="22"/>
        </w:rPr>
        <w:t>Scaffolding: Jurnal Pendidikan Islam Dan Multikulturalisme</w:t>
      </w:r>
      <w:r w:rsidRPr="007354F1">
        <w:rPr>
          <w:rFonts w:ascii="Calibri" w:hAnsi="Calibri" w:cs="Calibri"/>
          <w:noProof/>
          <w:sz w:val="22"/>
        </w:rPr>
        <w:t xml:space="preserve">, </w:t>
      </w:r>
      <w:r w:rsidRPr="007354F1">
        <w:rPr>
          <w:rFonts w:ascii="Calibri" w:hAnsi="Calibri" w:cs="Calibri"/>
          <w:i/>
          <w:iCs/>
          <w:noProof/>
          <w:sz w:val="22"/>
        </w:rPr>
        <w:t>6</w:t>
      </w:r>
      <w:r w:rsidRPr="007354F1">
        <w:rPr>
          <w:rFonts w:ascii="Calibri" w:hAnsi="Calibri" w:cs="Calibri"/>
          <w:noProof/>
          <w:sz w:val="22"/>
        </w:rPr>
        <w:t xml:space="preserve">(3), 409–421. </w:t>
      </w:r>
      <w:hyperlink r:id="rId54" w:history="1">
        <w:r w:rsidRPr="00562236">
          <w:rPr>
            <w:rStyle w:val="Hyperlink"/>
            <w:rFonts w:ascii="Calibri" w:hAnsi="Calibri" w:cs="Calibri"/>
            <w:noProof/>
            <w:sz w:val="22"/>
          </w:rPr>
          <w:t>https://doi.org/10.37680/scaffolding.v6i3.7053</w:t>
        </w:r>
      </w:hyperlink>
    </w:p>
    <w:p w14:paraId="13FFACBD"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Nisa, F. K., Rido, M. A., Izharman, I., &amp; Susanti, W. (2021). Problems of Teachers and Santri in Learning the Qur’an. </w:t>
      </w:r>
      <w:r w:rsidRPr="007354F1">
        <w:rPr>
          <w:rFonts w:ascii="Calibri" w:hAnsi="Calibri" w:cs="Calibri"/>
          <w:i/>
          <w:iCs/>
          <w:noProof/>
          <w:sz w:val="22"/>
        </w:rPr>
        <w:t>International Journal of Multidisciplinary Research of Higher Education</w:t>
      </w:r>
      <w:r w:rsidRPr="007354F1">
        <w:rPr>
          <w:rFonts w:ascii="Calibri" w:hAnsi="Calibri" w:cs="Calibri"/>
          <w:noProof/>
          <w:sz w:val="22"/>
        </w:rPr>
        <w:t xml:space="preserve">, </w:t>
      </w:r>
      <w:r w:rsidRPr="007354F1">
        <w:rPr>
          <w:rFonts w:ascii="Calibri" w:hAnsi="Calibri" w:cs="Calibri"/>
          <w:i/>
          <w:iCs/>
          <w:noProof/>
          <w:sz w:val="22"/>
        </w:rPr>
        <w:t>1</w:t>
      </w:r>
      <w:r w:rsidRPr="007354F1">
        <w:rPr>
          <w:rFonts w:ascii="Calibri" w:hAnsi="Calibri" w:cs="Calibri"/>
          <w:noProof/>
          <w:sz w:val="22"/>
        </w:rPr>
        <w:t xml:space="preserve">(1), 1–11. </w:t>
      </w:r>
      <w:hyperlink r:id="rId55" w:history="1">
        <w:r w:rsidRPr="00562236">
          <w:rPr>
            <w:rStyle w:val="Hyperlink"/>
            <w:rFonts w:ascii="Calibri" w:hAnsi="Calibri" w:cs="Calibri"/>
            <w:noProof/>
            <w:sz w:val="22"/>
          </w:rPr>
          <w:t>https://doi.org/10.24036/ijmurhica.v4i1.152</w:t>
        </w:r>
      </w:hyperlink>
    </w:p>
    <w:p w14:paraId="52927CBE"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Nurhalizah, S., Siahaan, A., &amp; Fadhila Daulai, A. (2023). Implementation of the Al-Qur’an Literacy Program to Improve the Ability to Read the Al-Qur’an at the Al-Abid Islamic Elementary School in Medan. </w:t>
      </w:r>
      <w:r w:rsidRPr="007354F1">
        <w:rPr>
          <w:rFonts w:ascii="Calibri" w:hAnsi="Calibri" w:cs="Calibri"/>
          <w:i/>
          <w:iCs/>
          <w:noProof/>
          <w:sz w:val="22"/>
        </w:rPr>
        <w:t>International Journal Of Humanities Education and Social Sciences (IJHESS)</w:t>
      </w:r>
      <w:r w:rsidRPr="007354F1">
        <w:rPr>
          <w:rFonts w:ascii="Calibri" w:hAnsi="Calibri" w:cs="Calibri"/>
          <w:noProof/>
          <w:sz w:val="22"/>
        </w:rPr>
        <w:t xml:space="preserve">, </w:t>
      </w:r>
      <w:r w:rsidRPr="007354F1">
        <w:rPr>
          <w:rFonts w:ascii="Calibri" w:hAnsi="Calibri" w:cs="Calibri"/>
          <w:i/>
          <w:iCs/>
          <w:noProof/>
          <w:sz w:val="22"/>
        </w:rPr>
        <w:t>3</w:t>
      </w:r>
      <w:r w:rsidRPr="007354F1">
        <w:rPr>
          <w:rFonts w:ascii="Calibri" w:hAnsi="Calibri" w:cs="Calibri"/>
          <w:noProof/>
          <w:sz w:val="22"/>
        </w:rPr>
        <w:t xml:space="preserve">(2), 975–988. </w:t>
      </w:r>
      <w:hyperlink r:id="rId56" w:history="1">
        <w:r w:rsidRPr="00562236">
          <w:rPr>
            <w:rStyle w:val="Hyperlink"/>
            <w:rFonts w:ascii="Calibri" w:hAnsi="Calibri" w:cs="Calibri"/>
            <w:noProof/>
            <w:sz w:val="22"/>
          </w:rPr>
          <w:t>https://doi.org/10.55227/ijhess.v3i2.612</w:t>
        </w:r>
      </w:hyperlink>
    </w:p>
    <w:p w14:paraId="58C853B2"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Nurkholifah, S. (2024). The Role of Al-Quran Literacy in Deepening Understanding of Islamic Religious Education. </w:t>
      </w:r>
      <w:r w:rsidRPr="007354F1">
        <w:rPr>
          <w:rFonts w:ascii="Calibri" w:hAnsi="Calibri" w:cs="Calibri"/>
          <w:i/>
          <w:iCs/>
          <w:noProof/>
          <w:sz w:val="22"/>
        </w:rPr>
        <w:t>AFKARINA: Jurnal Pendidikan Agama Islam</w:t>
      </w:r>
      <w:r w:rsidRPr="007354F1">
        <w:rPr>
          <w:rFonts w:ascii="Calibri" w:hAnsi="Calibri" w:cs="Calibri"/>
          <w:noProof/>
          <w:sz w:val="22"/>
        </w:rPr>
        <w:t xml:space="preserve">, </w:t>
      </w:r>
      <w:r w:rsidRPr="007354F1">
        <w:rPr>
          <w:rFonts w:ascii="Calibri" w:hAnsi="Calibri" w:cs="Calibri"/>
          <w:i/>
          <w:iCs/>
          <w:noProof/>
          <w:sz w:val="22"/>
        </w:rPr>
        <w:t>9</w:t>
      </w:r>
      <w:r w:rsidRPr="007354F1">
        <w:rPr>
          <w:rFonts w:ascii="Calibri" w:hAnsi="Calibri" w:cs="Calibri"/>
          <w:noProof/>
          <w:sz w:val="22"/>
        </w:rPr>
        <w:t xml:space="preserve">(1), 47–60. </w:t>
      </w:r>
      <w:hyperlink r:id="rId57" w:history="1">
        <w:r w:rsidRPr="00562236">
          <w:rPr>
            <w:rStyle w:val="Hyperlink"/>
            <w:rFonts w:ascii="Calibri" w:hAnsi="Calibri" w:cs="Calibri"/>
            <w:noProof/>
            <w:sz w:val="22"/>
          </w:rPr>
          <w:t>https://doi.org/10.33650/afkarina.v9i1.9357</w:t>
        </w:r>
      </w:hyperlink>
    </w:p>
    <w:p w14:paraId="183FC93B"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Oktafera, A., &amp; Nasution, Z. (2025). Implementation Of The Quran Reading Program In Forming Students’ Disciplined Character. </w:t>
      </w:r>
      <w:r w:rsidRPr="007354F1">
        <w:rPr>
          <w:rFonts w:ascii="Calibri" w:hAnsi="Calibri" w:cs="Calibri"/>
          <w:i/>
          <w:iCs/>
          <w:noProof/>
          <w:sz w:val="22"/>
        </w:rPr>
        <w:t>Scaffolding: Jurnal Pendidikan Islam Dan Multikulturalisme</w:t>
      </w:r>
      <w:r w:rsidRPr="007354F1">
        <w:rPr>
          <w:rFonts w:ascii="Calibri" w:hAnsi="Calibri" w:cs="Calibri"/>
          <w:noProof/>
          <w:sz w:val="22"/>
        </w:rPr>
        <w:t xml:space="preserve">, </w:t>
      </w:r>
      <w:r w:rsidRPr="007354F1">
        <w:rPr>
          <w:rFonts w:ascii="Calibri" w:hAnsi="Calibri" w:cs="Calibri"/>
          <w:i/>
          <w:iCs/>
          <w:noProof/>
          <w:sz w:val="22"/>
        </w:rPr>
        <w:t>6</w:t>
      </w:r>
      <w:r w:rsidRPr="007354F1">
        <w:rPr>
          <w:rFonts w:ascii="Calibri" w:hAnsi="Calibri" w:cs="Calibri"/>
          <w:noProof/>
          <w:sz w:val="22"/>
        </w:rPr>
        <w:t xml:space="preserve">(3), 333–352. </w:t>
      </w:r>
      <w:hyperlink r:id="rId58" w:history="1">
        <w:r w:rsidRPr="00562236">
          <w:rPr>
            <w:rStyle w:val="Hyperlink"/>
            <w:rFonts w:ascii="Calibri" w:hAnsi="Calibri" w:cs="Calibri"/>
            <w:noProof/>
            <w:sz w:val="22"/>
          </w:rPr>
          <w:t>https://doi.org/10.37680/scaffolding.v6i3.6411</w:t>
        </w:r>
      </w:hyperlink>
    </w:p>
    <w:p w14:paraId="62178FAF"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Putra, R. S., Sinaga, A. I., &amp; Nasution, S. (2024). Pengaruh Program Literasi Al-Qur’an dan Dukungan Keluarga terhadap Kemampuan Membaca Al- Qur’an Siswa SMP IT Permata Cendekia Kabupaten Simalungun. </w:t>
      </w:r>
      <w:r w:rsidRPr="007354F1">
        <w:rPr>
          <w:rFonts w:ascii="Calibri" w:hAnsi="Calibri" w:cs="Calibri"/>
          <w:i/>
          <w:iCs/>
          <w:noProof/>
          <w:sz w:val="22"/>
        </w:rPr>
        <w:t>Ideguru: Jurnal Karya Ilmiah Guru</w:t>
      </w:r>
      <w:r w:rsidRPr="007354F1">
        <w:rPr>
          <w:rFonts w:ascii="Calibri" w:hAnsi="Calibri" w:cs="Calibri"/>
          <w:noProof/>
          <w:sz w:val="22"/>
        </w:rPr>
        <w:t xml:space="preserve">, </w:t>
      </w:r>
      <w:r w:rsidRPr="007354F1">
        <w:rPr>
          <w:rFonts w:ascii="Calibri" w:hAnsi="Calibri" w:cs="Calibri"/>
          <w:i/>
          <w:iCs/>
          <w:noProof/>
          <w:sz w:val="22"/>
        </w:rPr>
        <w:t>9</w:t>
      </w:r>
      <w:r w:rsidRPr="007354F1">
        <w:rPr>
          <w:rFonts w:ascii="Calibri" w:hAnsi="Calibri" w:cs="Calibri"/>
          <w:noProof/>
          <w:sz w:val="22"/>
        </w:rPr>
        <w:t xml:space="preserve">(2), 672–677. </w:t>
      </w:r>
      <w:hyperlink r:id="rId59" w:history="1">
        <w:r w:rsidRPr="00562236">
          <w:rPr>
            <w:rStyle w:val="Hyperlink"/>
            <w:rFonts w:ascii="Calibri" w:hAnsi="Calibri" w:cs="Calibri"/>
            <w:noProof/>
            <w:sz w:val="22"/>
          </w:rPr>
          <w:t>https://doi.org/10.51169/ideguru.v9i2.882</w:t>
        </w:r>
      </w:hyperlink>
    </w:p>
    <w:p w14:paraId="3CF00FB4"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Rahma, E., Hertati, H., &amp; A, M. (2025). Tantangan Dan Solusi Meningkatkan Kemampuan Membaca Al-Qur’an Siswa Di SMPN 9 Tualang. </w:t>
      </w:r>
      <w:r w:rsidRPr="007354F1">
        <w:rPr>
          <w:rFonts w:ascii="Calibri" w:hAnsi="Calibri" w:cs="Calibri"/>
          <w:i/>
          <w:iCs/>
          <w:noProof/>
          <w:sz w:val="22"/>
        </w:rPr>
        <w:t>Review Pendidikan Dan Pengajaran</w:t>
      </w:r>
      <w:r w:rsidRPr="007354F1">
        <w:rPr>
          <w:rFonts w:ascii="Calibri" w:hAnsi="Calibri" w:cs="Calibri"/>
          <w:noProof/>
          <w:sz w:val="22"/>
        </w:rPr>
        <w:t xml:space="preserve">, </w:t>
      </w:r>
      <w:r w:rsidRPr="007354F1">
        <w:rPr>
          <w:rFonts w:ascii="Calibri" w:hAnsi="Calibri" w:cs="Calibri"/>
          <w:i/>
          <w:iCs/>
          <w:noProof/>
          <w:sz w:val="22"/>
        </w:rPr>
        <w:t>8</w:t>
      </w:r>
      <w:r w:rsidRPr="007354F1">
        <w:rPr>
          <w:rFonts w:ascii="Calibri" w:hAnsi="Calibri" w:cs="Calibri"/>
          <w:noProof/>
          <w:sz w:val="22"/>
        </w:rPr>
        <w:t>(1), 3400–3405.</w:t>
      </w:r>
      <w:r>
        <w:rPr>
          <w:rFonts w:ascii="Calibri" w:hAnsi="Calibri" w:cs="Calibri"/>
          <w:noProof/>
          <w:sz w:val="22"/>
        </w:rPr>
        <w:t xml:space="preserve"> </w:t>
      </w:r>
      <w:hyperlink r:id="rId60" w:history="1">
        <w:r w:rsidRPr="00562236">
          <w:rPr>
            <w:rStyle w:val="Hyperlink"/>
            <w:rFonts w:ascii="Calibri" w:hAnsi="Calibri" w:cs="Calibri"/>
            <w:noProof/>
            <w:sz w:val="22"/>
          </w:rPr>
          <w:t>https://journal.universitaspahlawan.ac.id/index.php/jrpp/article/download/43586/27371/145690</w:t>
        </w:r>
      </w:hyperlink>
    </w:p>
    <w:p w14:paraId="2837228B"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Rizki, S. N., Ajahari, A., &amp; Surawan, S. (2022). Peran Orang Tua Dalam Memotivasi Belajar Al-Qur’an Pada Anak Di Tpa Sidomulyokota Palangka Raya. </w:t>
      </w:r>
      <w:r w:rsidRPr="007354F1">
        <w:rPr>
          <w:rFonts w:ascii="Calibri" w:hAnsi="Calibri" w:cs="Calibri"/>
          <w:i/>
          <w:iCs/>
          <w:noProof/>
          <w:sz w:val="22"/>
        </w:rPr>
        <w:t>Wahana Islamika: Jurnal Studi Keislaman</w:t>
      </w:r>
      <w:r w:rsidRPr="007354F1">
        <w:rPr>
          <w:rFonts w:ascii="Calibri" w:hAnsi="Calibri" w:cs="Calibri"/>
          <w:noProof/>
          <w:sz w:val="22"/>
        </w:rPr>
        <w:t xml:space="preserve">, 164–177. </w:t>
      </w:r>
      <w:hyperlink r:id="rId61" w:history="1">
        <w:r w:rsidRPr="00562236">
          <w:rPr>
            <w:rStyle w:val="Hyperlink"/>
            <w:rFonts w:ascii="Calibri" w:hAnsi="Calibri" w:cs="Calibri"/>
            <w:noProof/>
            <w:sz w:val="22"/>
          </w:rPr>
          <w:t>https://doi.org/10.61136/pmm29y60</w:t>
        </w:r>
      </w:hyperlink>
    </w:p>
    <w:p w14:paraId="663504D0"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Rizqi, M., Faujianor, A., &amp; Yuliani, H. (2024). Validitas Pengembangan Media Pembelajaran Bagan dan Audio pada Materi Wudhu. </w:t>
      </w:r>
      <w:r w:rsidRPr="007354F1">
        <w:rPr>
          <w:rFonts w:ascii="Calibri" w:hAnsi="Calibri" w:cs="Calibri"/>
          <w:i/>
          <w:iCs/>
          <w:noProof/>
          <w:sz w:val="22"/>
        </w:rPr>
        <w:t>Attractive: Innovative Education Journal</w:t>
      </w:r>
      <w:r w:rsidRPr="007354F1">
        <w:rPr>
          <w:rFonts w:ascii="Calibri" w:hAnsi="Calibri" w:cs="Calibri"/>
          <w:noProof/>
          <w:sz w:val="22"/>
        </w:rPr>
        <w:t xml:space="preserve">, </w:t>
      </w:r>
      <w:r w:rsidRPr="007354F1">
        <w:rPr>
          <w:rFonts w:ascii="Calibri" w:hAnsi="Calibri" w:cs="Calibri"/>
          <w:i/>
          <w:iCs/>
          <w:noProof/>
          <w:sz w:val="22"/>
        </w:rPr>
        <w:t>6</w:t>
      </w:r>
      <w:r w:rsidRPr="007354F1">
        <w:rPr>
          <w:rFonts w:ascii="Calibri" w:hAnsi="Calibri" w:cs="Calibri"/>
          <w:noProof/>
          <w:sz w:val="22"/>
        </w:rPr>
        <w:t>(3), 414–422.</w:t>
      </w:r>
      <w:r>
        <w:rPr>
          <w:rFonts w:ascii="Calibri" w:hAnsi="Calibri" w:cs="Calibri"/>
          <w:noProof/>
          <w:sz w:val="22"/>
        </w:rPr>
        <w:t xml:space="preserve"> </w:t>
      </w:r>
      <w:hyperlink r:id="rId62" w:history="1">
        <w:r w:rsidRPr="00562236">
          <w:rPr>
            <w:rStyle w:val="Hyperlink"/>
            <w:rFonts w:ascii="Calibri" w:hAnsi="Calibri" w:cs="Calibri"/>
            <w:noProof/>
            <w:sz w:val="22"/>
          </w:rPr>
          <w:t>https://doi.org/10.51278/aj.v6i3.1702</w:t>
        </w:r>
      </w:hyperlink>
    </w:p>
    <w:p w14:paraId="1B0682FF"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Saleh, F. (2025). The Role of Hadith in Enchancing Quranic Literacy. </w:t>
      </w:r>
      <w:r w:rsidRPr="007354F1">
        <w:rPr>
          <w:rFonts w:ascii="Calibri" w:hAnsi="Calibri" w:cs="Calibri"/>
          <w:i/>
          <w:iCs/>
          <w:noProof/>
          <w:sz w:val="22"/>
        </w:rPr>
        <w:t>El-Sunan</w:t>
      </w:r>
      <w:r w:rsidRPr="007354F1">
        <w:rPr>
          <w:rFonts w:ascii="Calibri" w:hAnsi="Calibri" w:cs="Calibri"/>
          <w:noProof/>
          <w:sz w:val="22"/>
        </w:rPr>
        <w:t xml:space="preserve">, </w:t>
      </w:r>
      <w:r w:rsidRPr="007354F1">
        <w:rPr>
          <w:rFonts w:ascii="Calibri" w:hAnsi="Calibri" w:cs="Calibri"/>
          <w:i/>
          <w:iCs/>
          <w:noProof/>
          <w:sz w:val="22"/>
        </w:rPr>
        <w:t>3</w:t>
      </w:r>
      <w:r w:rsidRPr="007354F1">
        <w:rPr>
          <w:rFonts w:ascii="Calibri" w:hAnsi="Calibri" w:cs="Calibri"/>
          <w:noProof/>
          <w:sz w:val="22"/>
        </w:rPr>
        <w:t xml:space="preserve">(1), 1–23. </w:t>
      </w:r>
      <w:hyperlink r:id="rId63" w:history="1">
        <w:r w:rsidRPr="00562236">
          <w:rPr>
            <w:rStyle w:val="Hyperlink"/>
            <w:rFonts w:ascii="Calibri" w:hAnsi="Calibri" w:cs="Calibri"/>
            <w:noProof/>
            <w:sz w:val="22"/>
          </w:rPr>
          <w:t>https://doi.org/10.46870/jiat.v4i1.178.3</w:t>
        </w:r>
      </w:hyperlink>
    </w:p>
    <w:p w14:paraId="63DC2589"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Saputra, R. A., &amp; Subki, S. (2024). INTEGRATION OF QURANIC VALUES IN LEARNING STRATEGIES : Review of Interpretation and Implementation. </w:t>
      </w:r>
      <w:r w:rsidRPr="007354F1">
        <w:rPr>
          <w:rFonts w:ascii="Calibri" w:hAnsi="Calibri" w:cs="Calibri"/>
          <w:i/>
          <w:iCs/>
          <w:noProof/>
          <w:sz w:val="22"/>
        </w:rPr>
        <w:t>Fitrah: Journal of Islamic Education</w:t>
      </w:r>
      <w:r w:rsidRPr="007354F1">
        <w:rPr>
          <w:rFonts w:ascii="Calibri" w:hAnsi="Calibri" w:cs="Calibri"/>
          <w:noProof/>
          <w:sz w:val="22"/>
        </w:rPr>
        <w:t xml:space="preserve">, </w:t>
      </w:r>
      <w:r w:rsidRPr="007354F1">
        <w:rPr>
          <w:rFonts w:ascii="Calibri" w:hAnsi="Calibri" w:cs="Calibri"/>
          <w:i/>
          <w:iCs/>
          <w:noProof/>
          <w:sz w:val="22"/>
        </w:rPr>
        <w:t>5</w:t>
      </w:r>
      <w:r w:rsidRPr="007354F1">
        <w:rPr>
          <w:rFonts w:ascii="Calibri" w:hAnsi="Calibri" w:cs="Calibri"/>
          <w:noProof/>
          <w:sz w:val="22"/>
        </w:rPr>
        <w:t xml:space="preserve">(2), 128–142. </w:t>
      </w:r>
      <w:hyperlink r:id="rId64" w:history="1">
        <w:r w:rsidRPr="00562236">
          <w:rPr>
            <w:rStyle w:val="Hyperlink"/>
            <w:rFonts w:ascii="Calibri" w:hAnsi="Calibri" w:cs="Calibri"/>
            <w:noProof/>
            <w:sz w:val="22"/>
          </w:rPr>
          <w:t>https://doi.org/https://doi.org/10.53802/fitrah.v15i2.921</w:t>
        </w:r>
      </w:hyperlink>
    </w:p>
    <w:p w14:paraId="0F98DBC1"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Sastraatmadja, A. H. M., Emalis Saputra, A., Kulsum, S., Aini Farida, N., &amp; Makbul, M. (2024). Meningkatkan Kemampuan Membaca Al-Qur’an Siswa Kelas Vii Smpit Abdan Syakuro Dengan Metode Al Muyassar. </w:t>
      </w:r>
      <w:r w:rsidRPr="007354F1">
        <w:rPr>
          <w:rFonts w:ascii="Calibri" w:hAnsi="Calibri" w:cs="Calibri"/>
          <w:i/>
          <w:iCs/>
          <w:noProof/>
          <w:sz w:val="22"/>
        </w:rPr>
        <w:t>Mathematic Education JournalMathEdu</w:t>
      </w:r>
      <w:r w:rsidRPr="007354F1">
        <w:rPr>
          <w:rFonts w:ascii="Calibri" w:hAnsi="Calibri" w:cs="Calibri"/>
          <w:noProof/>
          <w:sz w:val="22"/>
        </w:rPr>
        <w:t xml:space="preserve">, </w:t>
      </w:r>
      <w:r w:rsidRPr="007354F1">
        <w:rPr>
          <w:rFonts w:ascii="Calibri" w:hAnsi="Calibri" w:cs="Calibri"/>
          <w:i/>
          <w:iCs/>
          <w:noProof/>
          <w:sz w:val="22"/>
        </w:rPr>
        <w:t>7</w:t>
      </w:r>
      <w:r w:rsidRPr="007354F1">
        <w:rPr>
          <w:rFonts w:ascii="Calibri" w:hAnsi="Calibri" w:cs="Calibri"/>
          <w:noProof/>
          <w:sz w:val="22"/>
        </w:rPr>
        <w:t xml:space="preserve">(2), 67–75. </w:t>
      </w:r>
      <w:hyperlink r:id="rId65" w:history="1">
        <w:r w:rsidRPr="00562236">
          <w:rPr>
            <w:rStyle w:val="Hyperlink"/>
            <w:rFonts w:ascii="Calibri" w:hAnsi="Calibri" w:cs="Calibri"/>
            <w:noProof/>
            <w:sz w:val="22"/>
          </w:rPr>
          <w:t>http://journal.ipts.ac.id/index.php/</w:t>
        </w:r>
      </w:hyperlink>
    </w:p>
    <w:p w14:paraId="76332C90"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Tazkirah, S., Ilham, I., &amp; Nasaruddin, N. (2025). STRATEGY FOR DEVELOPING TEACHER COMPETENCE IN QUR ’ ANIC EDUCATION GARDEN IN THE MODERN ERA : Analysis of Understanding of Tajweed At-Tadzkir Teaching Content. </w:t>
      </w:r>
      <w:r w:rsidRPr="007354F1">
        <w:rPr>
          <w:rFonts w:ascii="Calibri" w:hAnsi="Calibri" w:cs="Calibri"/>
          <w:i/>
          <w:iCs/>
          <w:noProof/>
          <w:sz w:val="22"/>
        </w:rPr>
        <w:t>Fitrah: Journal of Islamic Education</w:t>
      </w:r>
      <w:r w:rsidRPr="007354F1">
        <w:rPr>
          <w:rFonts w:ascii="Calibri" w:hAnsi="Calibri" w:cs="Calibri"/>
          <w:noProof/>
          <w:sz w:val="22"/>
        </w:rPr>
        <w:t xml:space="preserve">, </w:t>
      </w:r>
      <w:r w:rsidRPr="007354F1">
        <w:rPr>
          <w:rFonts w:ascii="Calibri" w:hAnsi="Calibri" w:cs="Calibri"/>
          <w:i/>
          <w:iCs/>
          <w:noProof/>
          <w:sz w:val="22"/>
        </w:rPr>
        <w:t>6</w:t>
      </w:r>
      <w:r w:rsidRPr="007354F1">
        <w:rPr>
          <w:rFonts w:ascii="Calibri" w:hAnsi="Calibri" w:cs="Calibri"/>
          <w:noProof/>
          <w:sz w:val="22"/>
        </w:rPr>
        <w:t xml:space="preserve">(1), 35–48. </w:t>
      </w:r>
      <w:hyperlink r:id="rId66" w:history="1">
        <w:r w:rsidRPr="00562236">
          <w:rPr>
            <w:rStyle w:val="Hyperlink"/>
            <w:rFonts w:ascii="Calibri" w:hAnsi="Calibri" w:cs="Calibri"/>
            <w:noProof/>
            <w:sz w:val="22"/>
          </w:rPr>
          <w:t>https://doi.org/https://doi.org/10.53802/fitrah.v6i1.1135</w:t>
        </w:r>
      </w:hyperlink>
    </w:p>
    <w:p w14:paraId="24418C05" w14:textId="77777777" w:rsidR="00DB5D71" w:rsidRPr="007354F1" w:rsidRDefault="00DB5D71" w:rsidP="00DB5D71">
      <w:pPr>
        <w:widowControl w:val="0"/>
        <w:autoSpaceDE w:val="0"/>
        <w:autoSpaceDN w:val="0"/>
        <w:adjustRightInd w:val="0"/>
        <w:ind w:left="480" w:hanging="480"/>
        <w:jc w:val="both"/>
        <w:rPr>
          <w:rFonts w:ascii="Calibri" w:hAnsi="Calibri" w:cs="Calibri"/>
          <w:noProof/>
          <w:sz w:val="22"/>
        </w:rPr>
      </w:pPr>
      <w:r w:rsidRPr="007354F1">
        <w:rPr>
          <w:rFonts w:ascii="Calibri" w:hAnsi="Calibri" w:cs="Calibri"/>
          <w:noProof/>
          <w:sz w:val="22"/>
        </w:rPr>
        <w:t xml:space="preserve">Wahdarohmah, N. K., &amp; Abdullah. (2024). Pendampingan Membaca Al-Qur’an Sebelum Belajar Melalui Kegiatan Pengabdian Mahasiswa IAIN Palangka Raya. </w:t>
      </w:r>
      <w:r w:rsidRPr="007354F1">
        <w:rPr>
          <w:rFonts w:ascii="Calibri" w:hAnsi="Calibri" w:cs="Calibri"/>
          <w:i/>
          <w:iCs/>
          <w:noProof/>
          <w:sz w:val="22"/>
        </w:rPr>
        <w:t>ARDHI : Jurnal Pengabdian Dalam Negri</w:t>
      </w:r>
      <w:r w:rsidRPr="007354F1">
        <w:rPr>
          <w:rFonts w:ascii="Calibri" w:hAnsi="Calibri" w:cs="Calibri"/>
          <w:noProof/>
          <w:sz w:val="22"/>
        </w:rPr>
        <w:t xml:space="preserve">, </w:t>
      </w:r>
      <w:r w:rsidRPr="007354F1">
        <w:rPr>
          <w:rFonts w:ascii="Calibri" w:hAnsi="Calibri" w:cs="Calibri"/>
          <w:i/>
          <w:iCs/>
          <w:noProof/>
          <w:sz w:val="22"/>
        </w:rPr>
        <w:t>2</w:t>
      </w:r>
      <w:r w:rsidRPr="007354F1">
        <w:rPr>
          <w:rFonts w:ascii="Calibri" w:hAnsi="Calibri" w:cs="Calibri"/>
          <w:noProof/>
          <w:sz w:val="22"/>
        </w:rPr>
        <w:t xml:space="preserve">(5), 133–139. </w:t>
      </w:r>
      <w:hyperlink r:id="rId67" w:history="1">
        <w:r w:rsidRPr="00562236">
          <w:rPr>
            <w:rStyle w:val="Hyperlink"/>
            <w:rFonts w:ascii="Calibri" w:hAnsi="Calibri" w:cs="Calibri"/>
            <w:noProof/>
            <w:sz w:val="22"/>
          </w:rPr>
          <w:t>https://doi.org/https://doi.org/10.61132/ardhi.v2i5.777</w:t>
        </w:r>
      </w:hyperlink>
    </w:p>
    <w:p w14:paraId="62659F4B" w14:textId="01A57177" w:rsidR="00DB5D71" w:rsidRDefault="00DB5D71" w:rsidP="00DB5D71">
      <w:pPr>
        <w:widowControl w:val="0"/>
        <w:autoSpaceDE w:val="0"/>
        <w:autoSpaceDN w:val="0"/>
        <w:adjustRightInd w:val="0"/>
        <w:ind w:left="480" w:hanging="480"/>
        <w:rPr>
          <w:rFonts w:ascii="Calibri" w:eastAsia="Calibri" w:hAnsi="Calibri" w:cs="Calibri"/>
          <w:b/>
          <w:sz w:val="22"/>
          <w:szCs w:val="22"/>
        </w:rPr>
      </w:pPr>
      <w:r>
        <w:rPr>
          <w:rFonts w:ascii="Calibri" w:eastAsia="Calibri" w:hAnsi="Calibri" w:cs="Calibri"/>
          <w:b/>
          <w:sz w:val="22"/>
          <w:szCs w:val="22"/>
        </w:rPr>
        <w:fldChar w:fldCharType="end"/>
      </w:r>
    </w:p>
    <w:p w14:paraId="7121FBBF" w14:textId="77777777" w:rsidR="00DB5D71" w:rsidRDefault="00DB5D71" w:rsidP="00DB5D71">
      <w:pPr>
        <w:widowControl w:val="0"/>
        <w:autoSpaceDE w:val="0"/>
        <w:autoSpaceDN w:val="0"/>
        <w:adjustRightInd w:val="0"/>
        <w:ind w:left="480" w:hanging="480"/>
        <w:rPr>
          <w:rFonts w:ascii="Calibri" w:eastAsia="Calibri" w:hAnsi="Calibri" w:cs="Calibri"/>
          <w:b/>
          <w:sz w:val="22"/>
          <w:szCs w:val="22"/>
        </w:rPr>
      </w:pPr>
    </w:p>
    <w:p w14:paraId="4696D697" w14:textId="77777777" w:rsidR="00EE5178" w:rsidRDefault="00EE5178">
      <w:pPr>
        <w:pBdr>
          <w:top w:val="nil"/>
          <w:left w:val="nil"/>
          <w:bottom w:val="nil"/>
          <w:right w:val="nil"/>
          <w:between w:val="nil"/>
        </w:pBdr>
        <w:jc w:val="both"/>
        <w:rPr>
          <w:rFonts w:ascii="Calibri" w:eastAsia="Calibri" w:hAnsi="Calibri" w:cs="Calibri"/>
          <w:color w:val="FF0000"/>
          <w:sz w:val="22"/>
          <w:szCs w:val="22"/>
        </w:rPr>
      </w:pPr>
    </w:p>
    <w:sectPr w:rsidR="00EE5178" w:rsidSect="00C27B0D">
      <w:headerReference w:type="even" r:id="rId68"/>
      <w:headerReference w:type="default" r:id="rId69"/>
      <w:footerReference w:type="even" r:id="rId70"/>
      <w:footerReference w:type="default" r:id="rId71"/>
      <w:headerReference w:type="first" r:id="rId72"/>
      <w:footerReference w:type="first" r:id="rId73"/>
      <w:type w:val="continuous"/>
      <w:pgSz w:w="11909" w:h="16834"/>
      <w:pgMar w:top="1701" w:right="1701" w:bottom="1701" w:left="1701" w:header="709" w:footer="709" w:gutter="0"/>
      <w:pgNumType w:start="114"/>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66C1C6" w14:textId="77777777" w:rsidR="00561170" w:rsidRDefault="00561170">
      <w:r>
        <w:separator/>
      </w:r>
    </w:p>
  </w:endnote>
  <w:endnote w:type="continuationSeparator" w:id="0">
    <w:p w14:paraId="33CF96DB" w14:textId="77777777" w:rsidR="00561170" w:rsidRDefault="00561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C1BD62E3-5D82-4241-B7C8-DCD4CEFE39C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2" w:fontKey="{C38A242B-496C-4642-962C-05BEA474AC69}"/>
  </w:font>
  <w:font w:name="Cambria">
    <w:panose1 w:val="02040503050406030204"/>
    <w:charset w:val="00"/>
    <w:family w:val="roman"/>
    <w:pitch w:val="variable"/>
    <w:sig w:usb0="E00006FF" w:usb1="420024FF" w:usb2="02000000" w:usb3="00000000" w:csb0="0000019F" w:csb1="00000000"/>
    <w:embedRegular r:id="rId3" w:fontKey="{938ABEFD-532E-41D6-8F3C-AE90C4A6DBA8}"/>
  </w:font>
  <w:font w:name="Calibri">
    <w:panose1 w:val="020F0502020204030204"/>
    <w:charset w:val="00"/>
    <w:family w:val="swiss"/>
    <w:pitch w:val="variable"/>
    <w:sig w:usb0="E4002EFF" w:usb1="C200247B" w:usb2="00000009" w:usb3="00000000" w:csb0="000001FF" w:csb1="00000000"/>
    <w:embedRegular r:id="rId4" w:fontKey="{9EAB875E-93DB-44EF-878F-F82ED4406854}"/>
    <w:embedBold r:id="rId5" w:fontKey="{BEE2318C-9D64-4073-97A2-32E14532E07E}"/>
    <w:embedItalic r:id="rId6" w:fontKey="{10B1CCF3-E289-45C9-A9C0-A7289F1BC971}"/>
    <w:embedBoldItalic r:id="rId7" w:fontKey="{9921A12A-693A-4583-BD52-7C8D97A73FBF}"/>
  </w:font>
  <w:font w:name="Tahoma">
    <w:panose1 w:val="020B0604030504040204"/>
    <w:charset w:val="00"/>
    <w:family w:val="swiss"/>
    <w:pitch w:val="variable"/>
    <w:sig w:usb0="E1002EFF" w:usb1="C000605B" w:usb2="00000029" w:usb3="00000000" w:csb0="000101FF" w:csb1="00000000"/>
    <w:embedRegular r:id="rId8" w:fontKey="{4F372DA3-E9B0-4F12-82F5-6AB92FDA16C7}"/>
  </w:font>
  <w:font w:name="Georgia">
    <w:panose1 w:val="02040502050405020303"/>
    <w:charset w:val="00"/>
    <w:family w:val="roman"/>
    <w:pitch w:val="variable"/>
    <w:sig w:usb0="00000287" w:usb1="00000000" w:usb2="00000000" w:usb3="00000000" w:csb0="0000009F" w:csb1="00000000"/>
    <w:embedRegular r:id="rId9" w:fontKey="{EEB8A603-C2B7-428E-A83C-B02B43436630}"/>
    <w:embedItalic r:id="rId10" w:fontKey="{A85346E1-C7A9-4CC5-9FBF-AFB289DA8151}"/>
  </w:font>
  <w:font w:name="Book Antiqua">
    <w:panose1 w:val="02040602050305030304"/>
    <w:charset w:val="00"/>
    <w:family w:val="roman"/>
    <w:pitch w:val="variable"/>
    <w:sig w:usb0="00000287" w:usb1="00000000" w:usb2="00000000" w:usb3="00000000" w:csb0="0000009F" w:csb1="00000000"/>
    <w:embedRegular r:id="rId11" w:fontKey="{70E72AEB-0D26-49F1-B131-5D88CA88FCBB}"/>
    <w:embedItalic r:id="rId12" w:fontKey="{7AAC9389-922D-498D-9BF1-72D472E984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0037069"/>
      <w:docPartObj>
        <w:docPartGallery w:val="Page Numbers (Bottom of Page)"/>
        <w:docPartUnique/>
      </w:docPartObj>
    </w:sdtPr>
    <w:sdtEndPr>
      <w:rPr>
        <w:noProof/>
      </w:rPr>
    </w:sdtEndPr>
    <w:sdtContent>
      <w:p w14:paraId="483B041F" w14:textId="4CE0A601" w:rsidR="00F1781C" w:rsidRDefault="00F1781C">
        <w:pPr>
          <w:pStyle w:val="Footer"/>
          <w:jc w:val="right"/>
        </w:pPr>
        <w:r>
          <w:fldChar w:fldCharType="begin"/>
        </w:r>
        <w:r>
          <w:instrText xml:space="preserve"> PAGE   \* MERGEFORMAT </w:instrText>
        </w:r>
        <w:r>
          <w:fldChar w:fldCharType="separate"/>
        </w:r>
        <w:r w:rsidR="00FB1A6B">
          <w:rPr>
            <w:noProof/>
          </w:rPr>
          <w:t>124</w:t>
        </w:r>
        <w:r>
          <w:rPr>
            <w:noProof/>
          </w:rPr>
          <w:fldChar w:fldCharType="end"/>
        </w:r>
      </w:p>
    </w:sdtContent>
  </w:sdt>
  <w:p w14:paraId="30D3CBB7" w14:textId="77777777" w:rsidR="00F1781C" w:rsidRDefault="00F178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418195"/>
      <w:docPartObj>
        <w:docPartGallery w:val="Page Numbers (Bottom of Page)"/>
        <w:docPartUnique/>
      </w:docPartObj>
    </w:sdtPr>
    <w:sdtEndPr>
      <w:rPr>
        <w:noProof/>
      </w:rPr>
    </w:sdtEndPr>
    <w:sdtContent>
      <w:p w14:paraId="5AB83140" w14:textId="11355713" w:rsidR="00C27B0D" w:rsidRDefault="00C27B0D">
        <w:pPr>
          <w:pStyle w:val="Footer"/>
          <w:jc w:val="right"/>
        </w:pPr>
        <w:r>
          <w:fldChar w:fldCharType="begin"/>
        </w:r>
        <w:r>
          <w:instrText xml:space="preserve"> PAGE   \* MERGEFORMAT </w:instrText>
        </w:r>
        <w:r>
          <w:fldChar w:fldCharType="separate"/>
        </w:r>
        <w:r w:rsidR="00FB1A6B">
          <w:rPr>
            <w:noProof/>
          </w:rPr>
          <w:t>123</w:t>
        </w:r>
        <w:r>
          <w:rPr>
            <w:noProof/>
          </w:rPr>
          <w:fldChar w:fldCharType="end"/>
        </w:r>
      </w:p>
    </w:sdtContent>
  </w:sdt>
  <w:p w14:paraId="253CA114" w14:textId="77777777" w:rsidR="00C27B0D" w:rsidRDefault="00C27B0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1024498"/>
      <w:docPartObj>
        <w:docPartGallery w:val="Page Numbers (Bottom of Page)"/>
        <w:docPartUnique/>
      </w:docPartObj>
    </w:sdtPr>
    <w:sdtEndPr>
      <w:rPr>
        <w:noProof/>
      </w:rPr>
    </w:sdtEndPr>
    <w:sdtContent>
      <w:p w14:paraId="75F3B186" w14:textId="74A98736" w:rsidR="00C27B0D" w:rsidRDefault="00C27B0D">
        <w:pPr>
          <w:pStyle w:val="Footer"/>
          <w:jc w:val="right"/>
        </w:pPr>
        <w:r>
          <w:fldChar w:fldCharType="begin"/>
        </w:r>
        <w:r>
          <w:instrText xml:space="preserve"> PAGE   \* MERGEFORMAT </w:instrText>
        </w:r>
        <w:r>
          <w:fldChar w:fldCharType="separate"/>
        </w:r>
        <w:r w:rsidR="00FB1A6B">
          <w:rPr>
            <w:noProof/>
          </w:rPr>
          <w:t>114</w:t>
        </w:r>
        <w:r>
          <w:rPr>
            <w:noProof/>
          </w:rPr>
          <w:fldChar w:fldCharType="end"/>
        </w:r>
      </w:p>
    </w:sdtContent>
  </w:sdt>
  <w:p w14:paraId="64BA46EF" w14:textId="77777777" w:rsidR="00C27B0D" w:rsidRDefault="00C27B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6F0ED3" w14:textId="77777777" w:rsidR="00561170" w:rsidRDefault="00561170">
      <w:r>
        <w:separator/>
      </w:r>
    </w:p>
  </w:footnote>
  <w:footnote w:type="continuationSeparator" w:id="0">
    <w:p w14:paraId="40D66985" w14:textId="77777777" w:rsidR="00561170" w:rsidRDefault="005611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CD019" w14:textId="411E3ED3" w:rsidR="00F1781C" w:rsidRPr="00F1781C" w:rsidRDefault="00F1781C" w:rsidP="00DC5D19">
    <w:pPr>
      <w:pStyle w:val="Header"/>
      <w:pBdr>
        <w:top w:val="single" w:sz="4" w:space="1" w:color="auto"/>
        <w:bottom w:val="single" w:sz="4" w:space="1" w:color="auto"/>
      </w:pBdr>
      <w:jc w:val="both"/>
      <w:rPr>
        <w:sz w:val="18"/>
        <w:szCs w:val="18"/>
      </w:rPr>
    </w:pPr>
    <w:r w:rsidRPr="00F1781C">
      <w:rPr>
        <w:sz w:val="18"/>
        <w:szCs w:val="18"/>
      </w:rPr>
      <w:t xml:space="preserve">Rizqi, M., Hartati, Z., &amp; Abdullah. (2025). Analysis of Students’ Ability to Read the Qur’an Based on Their Learning Environment Support. </w:t>
    </w:r>
    <w:r w:rsidRPr="00F1781C">
      <w:rPr>
        <w:i/>
        <w:iCs/>
        <w:sz w:val="18"/>
        <w:szCs w:val="18"/>
      </w:rPr>
      <w:t>Jurnal Komunikasi Pendidikan</w:t>
    </w:r>
    <w:r w:rsidRPr="00F1781C">
      <w:rPr>
        <w:sz w:val="18"/>
        <w:szCs w:val="18"/>
      </w:rPr>
      <w:t xml:space="preserve">, </w:t>
    </w:r>
    <w:r w:rsidRPr="00F1781C">
      <w:rPr>
        <w:i/>
        <w:iCs/>
        <w:sz w:val="18"/>
        <w:szCs w:val="18"/>
      </w:rPr>
      <w:t>9</w:t>
    </w:r>
    <w:r w:rsidRPr="00F1781C">
      <w:rPr>
        <w:sz w:val="18"/>
        <w:szCs w:val="18"/>
      </w:rPr>
      <w:t>(2)</w:t>
    </w:r>
    <w:r w:rsidR="00DC5D19">
      <w:rPr>
        <w:sz w:val="18"/>
        <w:szCs w:val="18"/>
      </w:rPr>
      <w:t>, 114-124</w:t>
    </w:r>
    <w:r w:rsidRPr="00F1781C">
      <w:rPr>
        <w:sz w:val="18"/>
        <w:szCs w:val="18"/>
      </w:rPr>
      <w:t xml:space="preserve">. </w:t>
    </w:r>
    <w:hyperlink r:id="rId1" w:history="1">
      <w:r w:rsidRPr="00F1781C">
        <w:rPr>
          <w:rStyle w:val="Hyperlink"/>
          <w:sz w:val="18"/>
          <w:szCs w:val="18"/>
          <w:u w:val="none"/>
        </w:rPr>
        <w:t>https://doi.org/10.32585/jurnalkomdik.v9i2.6797</w:t>
      </w:r>
    </w:hyperlink>
    <w:r w:rsidRPr="00F1781C">
      <w:rPr>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380F6" w14:textId="05B93DFB" w:rsidR="00A274B2" w:rsidRPr="00DC5D19" w:rsidRDefault="00DC5D19" w:rsidP="00DC5D19">
    <w:pPr>
      <w:pStyle w:val="Header"/>
      <w:pBdr>
        <w:top w:val="single" w:sz="4" w:space="1" w:color="auto"/>
        <w:bottom w:val="single" w:sz="4" w:space="1" w:color="auto"/>
      </w:pBdr>
      <w:jc w:val="both"/>
      <w:rPr>
        <w:sz w:val="18"/>
        <w:szCs w:val="18"/>
      </w:rPr>
    </w:pPr>
    <w:r w:rsidRPr="00F1781C">
      <w:rPr>
        <w:sz w:val="18"/>
        <w:szCs w:val="18"/>
      </w:rPr>
      <w:t xml:space="preserve">Rizqi, M., Hartati, Z., &amp; Abdullah. (2025). Analysis of Students’ Ability to Read the Qur’an Based on Their Learning Environment Support. </w:t>
    </w:r>
    <w:r w:rsidRPr="00F1781C">
      <w:rPr>
        <w:i/>
        <w:iCs/>
        <w:sz w:val="18"/>
        <w:szCs w:val="18"/>
      </w:rPr>
      <w:t>Jurnal Komunikasi Pendidikan</w:t>
    </w:r>
    <w:r w:rsidRPr="00F1781C">
      <w:rPr>
        <w:sz w:val="18"/>
        <w:szCs w:val="18"/>
      </w:rPr>
      <w:t xml:space="preserve">, </w:t>
    </w:r>
    <w:r w:rsidRPr="00F1781C">
      <w:rPr>
        <w:i/>
        <w:iCs/>
        <w:sz w:val="18"/>
        <w:szCs w:val="18"/>
      </w:rPr>
      <w:t>9</w:t>
    </w:r>
    <w:r w:rsidRPr="00F1781C">
      <w:rPr>
        <w:sz w:val="18"/>
        <w:szCs w:val="18"/>
      </w:rPr>
      <w:t>(2)</w:t>
    </w:r>
    <w:r>
      <w:rPr>
        <w:sz w:val="18"/>
        <w:szCs w:val="18"/>
      </w:rPr>
      <w:t>, 114-124</w:t>
    </w:r>
    <w:r w:rsidRPr="00F1781C">
      <w:rPr>
        <w:sz w:val="18"/>
        <w:szCs w:val="18"/>
      </w:rPr>
      <w:t xml:space="preserve">. </w:t>
    </w:r>
    <w:hyperlink r:id="rId1" w:history="1">
      <w:r w:rsidRPr="00F1781C">
        <w:rPr>
          <w:rStyle w:val="Hyperlink"/>
          <w:sz w:val="18"/>
          <w:szCs w:val="18"/>
          <w:u w:val="none"/>
        </w:rPr>
        <w:t>https://doi.org/10.32585/jurnalkomdik.v9i2.6797</w:t>
      </w:r>
    </w:hyperlink>
    <w:r w:rsidRPr="00F1781C">
      <w:rPr>
        <w:sz w:val="18"/>
        <w:szCs w:val="1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0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686"/>
      <w:gridCol w:w="7319"/>
    </w:tblGrid>
    <w:tr w:rsidR="00C27B0D" w:rsidRPr="00F02250" w14:paraId="674A38CB" w14:textId="77777777" w:rsidTr="00175CE3">
      <w:trPr>
        <w:trHeight w:val="1246"/>
      </w:trPr>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590238BF" w14:textId="77777777" w:rsidR="00C27B0D" w:rsidRPr="00F02250" w:rsidRDefault="00C27B0D" w:rsidP="00175CE3">
          <w:pPr>
            <w:widowControl w:val="0"/>
            <w:rPr>
              <w:color w:val="0070C0"/>
            </w:rPr>
          </w:pPr>
          <w:r w:rsidRPr="00F02250">
            <w:rPr>
              <w:noProof/>
              <w:lang w:val="id-ID" w:eastAsia="id-ID"/>
            </w:rPr>
            <w:drawing>
              <wp:anchor distT="0" distB="0" distL="114300" distR="114300" simplePos="0" relativeHeight="251659264" behindDoc="0" locked="0" layoutInCell="1" hidden="0" allowOverlap="1" wp14:anchorId="1521705D" wp14:editId="3EE06C70">
                <wp:simplePos x="0" y="0"/>
                <wp:positionH relativeFrom="column">
                  <wp:posOffset>51437</wp:posOffset>
                </wp:positionH>
                <wp:positionV relativeFrom="paragraph">
                  <wp:posOffset>50165</wp:posOffset>
                </wp:positionV>
                <wp:extent cx="773430" cy="685165"/>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3430" cy="685165"/>
                        </a:xfrm>
                        <a:prstGeom prst="rect">
                          <a:avLst/>
                        </a:prstGeom>
                        <a:ln/>
                      </pic:spPr>
                    </pic:pic>
                  </a:graphicData>
                </a:graphic>
              </wp:anchor>
            </w:drawing>
          </w:r>
        </w:p>
      </w:tc>
      <w:tc>
        <w:tcPr>
          <w:tcW w:w="7319" w:type="dxa"/>
          <w:tcBorders>
            <w:top w:val="single" w:sz="4" w:space="0" w:color="000000"/>
            <w:left w:val="single" w:sz="4" w:space="0" w:color="000000"/>
            <w:bottom w:val="single" w:sz="4" w:space="0" w:color="000000"/>
            <w:right w:val="single" w:sz="4" w:space="0" w:color="000000"/>
          </w:tcBorders>
          <w:shd w:val="clear" w:color="auto" w:fill="auto"/>
        </w:tcPr>
        <w:p w14:paraId="4547DD24" w14:textId="77777777" w:rsidR="00C27B0D" w:rsidRPr="00F02250" w:rsidRDefault="00C27B0D" w:rsidP="00175CE3">
          <w:pPr>
            <w:rPr>
              <w:b/>
              <w:i/>
              <w:sz w:val="8"/>
              <w:szCs w:val="8"/>
            </w:rPr>
          </w:pPr>
        </w:p>
        <w:p w14:paraId="70FB7B2D" w14:textId="77777777" w:rsidR="00C27B0D" w:rsidRPr="00F02250" w:rsidRDefault="00C27B0D" w:rsidP="00175CE3">
          <w:pPr>
            <w:ind w:firstLine="175"/>
            <w:rPr>
              <w:b/>
              <w:i/>
              <w:sz w:val="44"/>
              <w:szCs w:val="40"/>
              <w:lang w:val="sv-SE"/>
            </w:rPr>
          </w:pPr>
          <w:r w:rsidRPr="00F02250">
            <w:rPr>
              <w:b/>
              <w:i/>
              <w:sz w:val="44"/>
              <w:szCs w:val="40"/>
              <w:lang w:val="sv-SE"/>
            </w:rPr>
            <w:t>Jurnal Komunikasi Pendidikan</w:t>
          </w:r>
        </w:p>
        <w:p w14:paraId="7AB16A06" w14:textId="18372AC9" w:rsidR="00C27B0D" w:rsidRPr="00F02250" w:rsidRDefault="00C27B0D" w:rsidP="00175CE3">
          <w:pPr>
            <w:ind w:firstLine="175"/>
            <w:rPr>
              <w:i/>
              <w:sz w:val="22"/>
              <w:szCs w:val="22"/>
              <w:lang w:val="sv-SE"/>
            </w:rPr>
          </w:pPr>
          <w:r>
            <w:rPr>
              <w:i/>
              <w:sz w:val="22"/>
              <w:szCs w:val="22"/>
              <w:lang w:val="sv-SE"/>
            </w:rPr>
            <w:t>Vol. 9, No. 2 (2025), pp. 114</w:t>
          </w:r>
          <w:r w:rsidRPr="00F02250">
            <w:rPr>
              <w:i/>
              <w:sz w:val="22"/>
              <w:szCs w:val="22"/>
              <w:lang w:val="sv-SE"/>
            </w:rPr>
            <w:t>-</w:t>
          </w:r>
          <w:r>
            <w:rPr>
              <w:i/>
              <w:sz w:val="22"/>
              <w:szCs w:val="22"/>
              <w:lang w:val="sv-SE"/>
            </w:rPr>
            <w:t>12</w:t>
          </w:r>
          <w:r w:rsidR="00F1781C">
            <w:rPr>
              <w:i/>
              <w:sz w:val="22"/>
              <w:szCs w:val="22"/>
              <w:lang w:val="sv-SE"/>
            </w:rPr>
            <w:t>4</w:t>
          </w:r>
          <w:r>
            <w:rPr>
              <w:i/>
              <w:sz w:val="22"/>
              <w:szCs w:val="22"/>
              <w:lang w:val="sv-SE"/>
            </w:rPr>
            <w:t xml:space="preserve"> / </w:t>
          </w:r>
          <w:r w:rsidRPr="00F02250">
            <w:rPr>
              <w:i/>
              <w:sz w:val="22"/>
              <w:szCs w:val="22"/>
              <w:lang w:val="sv-SE"/>
            </w:rPr>
            <w:t>p-ISSN: 2549-1725, e-ISSN: 2549-4163</w:t>
          </w:r>
        </w:p>
        <w:p w14:paraId="033D71FA" w14:textId="77777777" w:rsidR="00C27B0D" w:rsidRPr="00F02250" w:rsidRDefault="00C27B0D" w:rsidP="00175CE3">
          <w:pPr>
            <w:ind w:firstLine="175"/>
            <w:rPr>
              <w:color w:val="0070C0"/>
              <w:lang w:val="sv-SE"/>
            </w:rPr>
          </w:pPr>
          <w:hyperlink r:id="rId2">
            <w:r w:rsidRPr="00F02250">
              <w:rPr>
                <w:i/>
                <w:color w:val="0000FF"/>
                <w:sz w:val="22"/>
                <w:lang w:val="sv-SE"/>
              </w:rPr>
              <w:t>http://journal.univetbantara.ac.id/index.php/komdik</w:t>
            </w:r>
          </w:hyperlink>
        </w:p>
      </w:tc>
    </w:tr>
  </w:tbl>
  <w:p w14:paraId="7BD6FB88" w14:textId="77777777" w:rsidR="0078396A" w:rsidRPr="00C27B0D" w:rsidRDefault="0078396A" w:rsidP="00C27B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6854BE"/>
    <w:multiLevelType w:val="multilevel"/>
    <w:tmpl w:val="957E7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178"/>
    <w:rsid w:val="000639CA"/>
    <w:rsid w:val="0009678F"/>
    <w:rsid w:val="001F3FF1"/>
    <w:rsid w:val="0022655D"/>
    <w:rsid w:val="00247A5C"/>
    <w:rsid w:val="00281AB2"/>
    <w:rsid w:val="002E5307"/>
    <w:rsid w:val="003416CB"/>
    <w:rsid w:val="00355ABA"/>
    <w:rsid w:val="00363147"/>
    <w:rsid w:val="003B560C"/>
    <w:rsid w:val="003C7A32"/>
    <w:rsid w:val="00481A63"/>
    <w:rsid w:val="00494B95"/>
    <w:rsid w:val="004B789A"/>
    <w:rsid w:val="0055641A"/>
    <w:rsid w:val="00561170"/>
    <w:rsid w:val="00562236"/>
    <w:rsid w:val="005F5861"/>
    <w:rsid w:val="00694905"/>
    <w:rsid w:val="006D5473"/>
    <w:rsid w:val="006E5FD2"/>
    <w:rsid w:val="007354F1"/>
    <w:rsid w:val="0078396A"/>
    <w:rsid w:val="007E242F"/>
    <w:rsid w:val="00832304"/>
    <w:rsid w:val="009A4C9C"/>
    <w:rsid w:val="00A10ACC"/>
    <w:rsid w:val="00A2127C"/>
    <w:rsid w:val="00A274B2"/>
    <w:rsid w:val="00A5634B"/>
    <w:rsid w:val="00AB2405"/>
    <w:rsid w:val="00AB577C"/>
    <w:rsid w:val="00AD12D1"/>
    <w:rsid w:val="00B07474"/>
    <w:rsid w:val="00C27B0D"/>
    <w:rsid w:val="00C515C0"/>
    <w:rsid w:val="00C80A21"/>
    <w:rsid w:val="00C97DAD"/>
    <w:rsid w:val="00CB0DD8"/>
    <w:rsid w:val="00CC3004"/>
    <w:rsid w:val="00CD0CCA"/>
    <w:rsid w:val="00D8570C"/>
    <w:rsid w:val="00DB50AD"/>
    <w:rsid w:val="00DB5D71"/>
    <w:rsid w:val="00DC2544"/>
    <w:rsid w:val="00DC5D19"/>
    <w:rsid w:val="00E52219"/>
    <w:rsid w:val="00E62F81"/>
    <w:rsid w:val="00EE5178"/>
    <w:rsid w:val="00F1781C"/>
    <w:rsid w:val="00F31806"/>
    <w:rsid w:val="00F968F9"/>
    <w:rsid w:val="00FB1A6B"/>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3A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159"/>
    <w:rPr>
      <w:szCs w:val="20"/>
    </w:rPr>
  </w:style>
  <w:style w:type="paragraph" w:styleId="Heading1">
    <w:name w:val="heading 1"/>
    <w:basedOn w:val="Normal"/>
    <w:next w:val="Normal"/>
    <w:link w:val="Heading1Char"/>
    <w:uiPriority w:val="9"/>
    <w:qFormat/>
    <w:rsid w:val="00230159"/>
    <w:pPr>
      <w:keepNext/>
      <w:outlineLvl w:val="0"/>
    </w:pPr>
    <w:rPr>
      <w:b/>
      <w:i/>
      <w:sz w:val="4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30159"/>
    <w:pPr>
      <w:jc w:val="center"/>
    </w:pPr>
    <w:rPr>
      <w:rFonts w:cstheme="minorBidi"/>
      <w:b/>
      <w:sz w:val="20"/>
      <w:szCs w:val="22"/>
    </w:rPr>
  </w:style>
  <w:style w:type="character" w:customStyle="1" w:styleId="Heading1Char">
    <w:name w:val="Heading 1 Char"/>
    <w:basedOn w:val="DefaultParagraphFont"/>
    <w:link w:val="Heading1"/>
    <w:rsid w:val="00230159"/>
    <w:rPr>
      <w:rFonts w:ascii="Times New Roman" w:eastAsia="Times New Roman" w:hAnsi="Times New Roman" w:cs="Times New Roman"/>
      <w:b/>
      <w:i/>
      <w:sz w:val="40"/>
      <w:szCs w:val="20"/>
    </w:rPr>
  </w:style>
  <w:style w:type="character" w:styleId="Hyperlink">
    <w:name w:val="Hyperlink"/>
    <w:uiPriority w:val="99"/>
    <w:rsid w:val="00230159"/>
    <w:rPr>
      <w:color w:val="0000FF"/>
      <w:u w:val="single"/>
    </w:rPr>
  </w:style>
  <w:style w:type="character" w:customStyle="1" w:styleId="TitleChar">
    <w:name w:val="Title Char"/>
    <w:link w:val="Title"/>
    <w:rsid w:val="00230159"/>
    <w:rPr>
      <w:rFonts w:ascii="Times New Roman" w:eastAsia="Times New Roman" w:hAnsi="Times New Roman"/>
      <w:b/>
      <w:sz w:val="20"/>
    </w:rPr>
  </w:style>
  <w:style w:type="character" w:customStyle="1" w:styleId="HeaderChar">
    <w:name w:val="Header Char"/>
    <w:link w:val="Header"/>
    <w:uiPriority w:val="99"/>
    <w:rsid w:val="00230159"/>
    <w:rPr>
      <w:rFonts w:ascii="Times New Roman" w:eastAsia="Times New Roman" w:hAnsi="Times New Roman"/>
      <w:sz w:val="24"/>
    </w:rPr>
  </w:style>
  <w:style w:type="character" w:customStyle="1" w:styleId="FooterChar">
    <w:name w:val="Footer Char"/>
    <w:link w:val="Footer"/>
    <w:uiPriority w:val="99"/>
    <w:rsid w:val="00230159"/>
    <w:rPr>
      <w:rFonts w:ascii="Times New Roman" w:eastAsia="Times New Roman" w:hAnsi="Times New Roman"/>
      <w:sz w:val="24"/>
    </w:rPr>
  </w:style>
  <w:style w:type="paragraph" w:styleId="Footer">
    <w:name w:val="footer"/>
    <w:basedOn w:val="Normal"/>
    <w:link w:val="FooterChar"/>
    <w:uiPriority w:val="99"/>
    <w:rsid w:val="00230159"/>
    <w:pPr>
      <w:tabs>
        <w:tab w:val="center" w:pos="4320"/>
        <w:tab w:val="right" w:pos="8640"/>
      </w:tabs>
    </w:pPr>
    <w:rPr>
      <w:rFonts w:cstheme="minorBidi"/>
      <w:szCs w:val="22"/>
    </w:rPr>
  </w:style>
  <w:style w:type="character" w:customStyle="1" w:styleId="FooterChar1">
    <w:name w:val="Footer Char1"/>
    <w:basedOn w:val="DefaultParagraphFont"/>
    <w:uiPriority w:val="99"/>
    <w:semiHidden/>
    <w:rsid w:val="00230159"/>
    <w:rPr>
      <w:rFonts w:ascii="Times New Roman" w:eastAsia="Times New Roman" w:hAnsi="Times New Roman" w:cs="Times New Roman"/>
      <w:sz w:val="24"/>
      <w:szCs w:val="20"/>
    </w:rPr>
  </w:style>
  <w:style w:type="paragraph" w:styleId="Header">
    <w:name w:val="header"/>
    <w:basedOn w:val="Normal"/>
    <w:link w:val="HeaderChar"/>
    <w:uiPriority w:val="99"/>
    <w:rsid w:val="00230159"/>
    <w:pPr>
      <w:tabs>
        <w:tab w:val="center" w:pos="4680"/>
        <w:tab w:val="right" w:pos="9360"/>
      </w:tabs>
    </w:pPr>
    <w:rPr>
      <w:rFonts w:cstheme="minorBidi"/>
      <w:szCs w:val="22"/>
    </w:rPr>
  </w:style>
  <w:style w:type="character" w:customStyle="1" w:styleId="HeaderChar1">
    <w:name w:val="Header Char1"/>
    <w:basedOn w:val="DefaultParagraphFont"/>
    <w:uiPriority w:val="99"/>
    <w:semiHidden/>
    <w:rsid w:val="00230159"/>
    <w:rPr>
      <w:rFonts w:ascii="Times New Roman" w:eastAsia="Times New Roman" w:hAnsi="Times New Roman" w:cs="Times New Roman"/>
      <w:sz w:val="24"/>
      <w:szCs w:val="20"/>
    </w:rPr>
  </w:style>
  <w:style w:type="paragraph" w:customStyle="1" w:styleId="PageNumber1">
    <w:name w:val="Page Number1"/>
    <w:basedOn w:val="Normal"/>
    <w:rsid w:val="00230159"/>
    <w:pPr>
      <w:suppressAutoHyphens/>
      <w:jc w:val="center"/>
    </w:pPr>
    <w:rPr>
      <w:rFonts w:ascii="Times" w:hAnsi="Times"/>
      <w:lang w:eastAsia="ar-SA"/>
    </w:rPr>
  </w:style>
  <w:style w:type="character" w:customStyle="1" w:styleId="TitleChar1">
    <w:name w:val="Title Char1"/>
    <w:basedOn w:val="DefaultParagraphFont"/>
    <w:uiPriority w:val="10"/>
    <w:rsid w:val="00230159"/>
    <w:rPr>
      <w:rFonts w:asciiTheme="majorHAnsi" w:eastAsiaTheme="majorEastAsia" w:hAnsiTheme="majorHAnsi" w:cstheme="majorBidi"/>
      <w:color w:val="17365D" w:themeColor="text2" w:themeShade="BF"/>
      <w:spacing w:val="5"/>
      <w:kern w:val="28"/>
      <w:sz w:val="52"/>
      <w:szCs w:val="52"/>
    </w:rPr>
  </w:style>
  <w:style w:type="paragraph" w:customStyle="1" w:styleId="AbstractTitle">
    <w:name w:val="Abstract Title"/>
    <w:basedOn w:val="Normal"/>
    <w:rsid w:val="00230159"/>
    <w:pPr>
      <w:ind w:left="567" w:right="567"/>
      <w:jc w:val="center"/>
    </w:pPr>
    <w:rPr>
      <w:rFonts w:ascii="Arial" w:hAnsi="Arial"/>
      <w:b/>
      <w:sz w:val="18"/>
      <w:lang w:val="en-GB" w:eastAsia="en-GB"/>
    </w:rPr>
  </w:style>
  <w:style w:type="table" w:styleId="TableGrid">
    <w:name w:val="Table Grid"/>
    <w:basedOn w:val="TableNormal"/>
    <w:uiPriority w:val="59"/>
    <w:rsid w:val="00230159"/>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aliases w:val="Body of text"/>
    <w:basedOn w:val="Normal"/>
    <w:link w:val="ListParagraphChar"/>
    <w:uiPriority w:val="34"/>
    <w:qFormat/>
    <w:rsid w:val="00230159"/>
    <w:pPr>
      <w:spacing w:after="200" w:line="276" w:lineRule="auto"/>
      <w:ind w:left="720"/>
      <w:contextualSpacing/>
    </w:pPr>
    <w:rPr>
      <w:rFonts w:ascii="Calibri" w:eastAsia="Calibri" w:hAnsi="Calibri"/>
      <w:noProof/>
      <w:sz w:val="22"/>
      <w:szCs w:val="22"/>
      <w:lang w:val="id-ID"/>
    </w:rPr>
  </w:style>
  <w:style w:type="character" w:styleId="Emphasis">
    <w:name w:val="Emphasis"/>
    <w:basedOn w:val="DefaultParagraphFont"/>
    <w:uiPriority w:val="20"/>
    <w:qFormat/>
    <w:rsid w:val="00230159"/>
    <w:rPr>
      <w:i/>
      <w:iCs/>
    </w:rPr>
  </w:style>
  <w:style w:type="paragraph" w:styleId="BodyTextIndent2">
    <w:name w:val="Body Text Indent 2"/>
    <w:basedOn w:val="Normal"/>
    <w:link w:val="BodyTextIndent2Char"/>
    <w:uiPriority w:val="99"/>
    <w:semiHidden/>
    <w:unhideWhenUsed/>
    <w:rsid w:val="00230159"/>
    <w:pPr>
      <w:spacing w:after="120" w:line="480" w:lineRule="auto"/>
      <w:ind w:left="360"/>
    </w:pPr>
  </w:style>
  <w:style w:type="character" w:customStyle="1" w:styleId="BodyTextIndent2Char">
    <w:name w:val="Body Text Indent 2 Char"/>
    <w:basedOn w:val="DefaultParagraphFont"/>
    <w:link w:val="BodyTextIndent2"/>
    <w:uiPriority w:val="99"/>
    <w:semiHidden/>
    <w:rsid w:val="00230159"/>
    <w:rPr>
      <w:rFonts w:ascii="Times New Roman" w:eastAsia="Times New Roman" w:hAnsi="Times New Roman" w:cs="Times New Roman"/>
      <w:sz w:val="24"/>
      <w:szCs w:val="20"/>
    </w:rPr>
  </w:style>
  <w:style w:type="character" w:customStyle="1" w:styleId="highlighted">
    <w:name w:val="highlighted"/>
    <w:basedOn w:val="DefaultParagraphFont"/>
    <w:rsid w:val="00FF6B75"/>
  </w:style>
  <w:style w:type="character" w:customStyle="1" w:styleId="ListParagraphChar">
    <w:name w:val="List Paragraph Char"/>
    <w:aliases w:val="Body of text Char"/>
    <w:link w:val="ListParagraph"/>
    <w:uiPriority w:val="34"/>
    <w:locked/>
    <w:rsid w:val="00FF6B75"/>
    <w:rPr>
      <w:rFonts w:ascii="Calibri" w:eastAsia="Calibri" w:hAnsi="Calibri" w:cs="Times New Roman"/>
      <w:noProof/>
      <w:lang w:val="id-ID"/>
    </w:rPr>
  </w:style>
  <w:style w:type="paragraph" w:customStyle="1" w:styleId="Default">
    <w:name w:val="Default"/>
    <w:rsid w:val="00FF6B75"/>
    <w:pPr>
      <w:autoSpaceDE w:val="0"/>
      <w:autoSpaceDN w:val="0"/>
      <w:adjustRightInd w:val="0"/>
    </w:pPr>
    <w:rPr>
      <w:color w:val="000000"/>
      <w:lang w:val="id-ID"/>
    </w:rPr>
  </w:style>
  <w:style w:type="character" w:customStyle="1" w:styleId="A1">
    <w:name w:val="A1"/>
    <w:uiPriority w:val="99"/>
    <w:rsid w:val="00FF6B75"/>
    <w:rPr>
      <w:color w:val="000000"/>
      <w:sz w:val="18"/>
      <w:szCs w:val="18"/>
    </w:rPr>
  </w:style>
  <w:style w:type="paragraph" w:styleId="NormalWeb">
    <w:name w:val="Normal (Web)"/>
    <w:basedOn w:val="Normal"/>
    <w:uiPriority w:val="99"/>
    <w:semiHidden/>
    <w:unhideWhenUsed/>
    <w:rsid w:val="00A74D79"/>
    <w:rPr>
      <w:szCs w:val="24"/>
    </w:rPr>
  </w:style>
  <w:style w:type="paragraph" w:styleId="BalloonText">
    <w:name w:val="Balloon Text"/>
    <w:basedOn w:val="Normal"/>
    <w:link w:val="BalloonTextChar"/>
    <w:uiPriority w:val="99"/>
    <w:semiHidden/>
    <w:unhideWhenUsed/>
    <w:rsid w:val="00887190"/>
    <w:rPr>
      <w:rFonts w:ascii="Tahoma" w:hAnsi="Tahoma" w:cs="Tahoma"/>
      <w:sz w:val="16"/>
      <w:szCs w:val="16"/>
    </w:rPr>
  </w:style>
  <w:style w:type="character" w:customStyle="1" w:styleId="BalloonTextChar">
    <w:name w:val="Balloon Text Char"/>
    <w:basedOn w:val="DefaultParagraphFont"/>
    <w:link w:val="BalloonText"/>
    <w:uiPriority w:val="99"/>
    <w:semiHidden/>
    <w:rsid w:val="00887190"/>
    <w:rPr>
      <w:rFonts w:ascii="Tahoma" w:eastAsia="Times New Roman"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style>
  <w:style w:type="table" w:customStyle="1" w:styleId="a2">
    <w:basedOn w:val="TableNormal"/>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style>
  <w:style w:type="table" w:customStyle="1" w:styleId="a3">
    <w:basedOn w:val="TableNormal"/>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style>
  <w:style w:type="table" w:customStyle="1" w:styleId="a4">
    <w:basedOn w:val="TableNormal"/>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style>
  <w:style w:type="table" w:customStyle="1" w:styleId="Style43">
    <w:name w:val="_Style 43"/>
    <w:basedOn w:val="TableNormal"/>
    <w:rsid w:val="000639CA"/>
    <w:rPr>
      <w:rFonts w:ascii="Calibri" w:hAnsi="Calibri" w:cs="Calibri"/>
      <w:sz w:val="20"/>
      <w:szCs w:val="20"/>
      <w:lang w:val="en-ID"/>
    </w:rPr>
    <w:tblPr>
      <w:tblInd w:w="0" w:type="dxa"/>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0639CA"/>
    <w:rPr>
      <w:color w:val="605E5C"/>
      <w:shd w:val="clear" w:color="auto" w:fill="E1DFDD"/>
    </w:rPr>
  </w:style>
  <w:style w:type="character" w:styleId="CommentReference">
    <w:name w:val="annotation reference"/>
    <w:basedOn w:val="DefaultParagraphFont"/>
    <w:uiPriority w:val="99"/>
    <w:semiHidden/>
    <w:unhideWhenUsed/>
    <w:rsid w:val="00A274B2"/>
    <w:rPr>
      <w:sz w:val="16"/>
      <w:szCs w:val="16"/>
    </w:rPr>
  </w:style>
  <w:style w:type="paragraph" w:styleId="CommentText">
    <w:name w:val="annotation text"/>
    <w:basedOn w:val="Normal"/>
    <w:link w:val="CommentTextChar"/>
    <w:uiPriority w:val="99"/>
    <w:semiHidden/>
    <w:unhideWhenUsed/>
    <w:rsid w:val="00A274B2"/>
    <w:rPr>
      <w:sz w:val="20"/>
    </w:rPr>
  </w:style>
  <w:style w:type="character" w:customStyle="1" w:styleId="CommentTextChar">
    <w:name w:val="Comment Text Char"/>
    <w:basedOn w:val="DefaultParagraphFont"/>
    <w:link w:val="CommentText"/>
    <w:uiPriority w:val="99"/>
    <w:semiHidden/>
    <w:rsid w:val="00A274B2"/>
    <w:rPr>
      <w:sz w:val="20"/>
      <w:szCs w:val="20"/>
    </w:rPr>
  </w:style>
  <w:style w:type="paragraph" w:styleId="CommentSubject">
    <w:name w:val="annotation subject"/>
    <w:basedOn w:val="CommentText"/>
    <w:next w:val="CommentText"/>
    <w:link w:val="CommentSubjectChar"/>
    <w:uiPriority w:val="99"/>
    <w:semiHidden/>
    <w:unhideWhenUsed/>
    <w:rsid w:val="00A274B2"/>
    <w:rPr>
      <w:b/>
      <w:bCs/>
    </w:rPr>
  </w:style>
  <w:style w:type="character" w:customStyle="1" w:styleId="CommentSubjectChar">
    <w:name w:val="Comment Subject Char"/>
    <w:basedOn w:val="CommentTextChar"/>
    <w:link w:val="CommentSubject"/>
    <w:uiPriority w:val="99"/>
    <w:semiHidden/>
    <w:rsid w:val="00A274B2"/>
    <w:rPr>
      <w:b/>
      <w:bCs/>
      <w:sz w:val="20"/>
      <w:szCs w:val="20"/>
    </w:rPr>
  </w:style>
  <w:style w:type="character" w:styleId="Strong">
    <w:name w:val="Strong"/>
    <w:basedOn w:val="DefaultParagraphFont"/>
    <w:uiPriority w:val="22"/>
    <w:qFormat/>
    <w:rsid w:val="00A274B2"/>
    <w:rPr>
      <w:b/>
      <w:bCs/>
    </w:rPr>
  </w:style>
  <w:style w:type="character" w:styleId="FootnoteReference">
    <w:name w:val="footnote reference"/>
    <w:basedOn w:val="DefaultParagraphFont"/>
    <w:uiPriority w:val="99"/>
    <w:semiHidden/>
    <w:unhideWhenUsed/>
    <w:rsid w:val="00CC3004"/>
    <w:rPr>
      <w:vertAlign w:val="superscript"/>
    </w:rPr>
  </w:style>
  <w:style w:type="paragraph" w:styleId="FootnoteText">
    <w:name w:val="footnote text"/>
    <w:basedOn w:val="Normal"/>
    <w:link w:val="FootnoteTextChar"/>
    <w:uiPriority w:val="99"/>
    <w:semiHidden/>
    <w:unhideWhenUsed/>
    <w:rsid w:val="003B560C"/>
    <w:rPr>
      <w:sz w:val="20"/>
    </w:rPr>
  </w:style>
  <w:style w:type="character" w:customStyle="1" w:styleId="FootnoteTextChar">
    <w:name w:val="Footnote Text Char"/>
    <w:basedOn w:val="DefaultParagraphFont"/>
    <w:link w:val="FootnoteText"/>
    <w:uiPriority w:val="99"/>
    <w:semiHidden/>
    <w:rsid w:val="003B560C"/>
    <w:rPr>
      <w:sz w:val="20"/>
      <w:szCs w:val="20"/>
    </w:rPr>
  </w:style>
  <w:style w:type="character" w:customStyle="1" w:styleId="UnresolvedMention2">
    <w:name w:val="Unresolved Mention2"/>
    <w:basedOn w:val="DefaultParagraphFont"/>
    <w:uiPriority w:val="99"/>
    <w:semiHidden/>
    <w:unhideWhenUsed/>
    <w:rsid w:val="007354F1"/>
    <w:rPr>
      <w:color w:val="605E5C"/>
      <w:shd w:val="clear" w:color="auto" w:fill="E1DFDD"/>
    </w:rPr>
  </w:style>
  <w:style w:type="character" w:customStyle="1" w:styleId="UnresolvedMention">
    <w:name w:val="Unresolved Mention"/>
    <w:basedOn w:val="DefaultParagraphFont"/>
    <w:uiPriority w:val="99"/>
    <w:semiHidden/>
    <w:unhideWhenUsed/>
    <w:rsid w:val="00AB577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159"/>
    <w:rPr>
      <w:szCs w:val="20"/>
    </w:rPr>
  </w:style>
  <w:style w:type="paragraph" w:styleId="Heading1">
    <w:name w:val="heading 1"/>
    <w:basedOn w:val="Normal"/>
    <w:next w:val="Normal"/>
    <w:link w:val="Heading1Char"/>
    <w:uiPriority w:val="9"/>
    <w:qFormat/>
    <w:rsid w:val="00230159"/>
    <w:pPr>
      <w:keepNext/>
      <w:outlineLvl w:val="0"/>
    </w:pPr>
    <w:rPr>
      <w:b/>
      <w:i/>
      <w:sz w:val="4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30159"/>
    <w:pPr>
      <w:jc w:val="center"/>
    </w:pPr>
    <w:rPr>
      <w:rFonts w:cstheme="minorBidi"/>
      <w:b/>
      <w:sz w:val="20"/>
      <w:szCs w:val="22"/>
    </w:rPr>
  </w:style>
  <w:style w:type="character" w:customStyle="1" w:styleId="Heading1Char">
    <w:name w:val="Heading 1 Char"/>
    <w:basedOn w:val="DefaultParagraphFont"/>
    <w:link w:val="Heading1"/>
    <w:rsid w:val="00230159"/>
    <w:rPr>
      <w:rFonts w:ascii="Times New Roman" w:eastAsia="Times New Roman" w:hAnsi="Times New Roman" w:cs="Times New Roman"/>
      <w:b/>
      <w:i/>
      <w:sz w:val="40"/>
      <w:szCs w:val="20"/>
    </w:rPr>
  </w:style>
  <w:style w:type="character" w:styleId="Hyperlink">
    <w:name w:val="Hyperlink"/>
    <w:uiPriority w:val="99"/>
    <w:rsid w:val="00230159"/>
    <w:rPr>
      <w:color w:val="0000FF"/>
      <w:u w:val="single"/>
    </w:rPr>
  </w:style>
  <w:style w:type="character" w:customStyle="1" w:styleId="TitleChar">
    <w:name w:val="Title Char"/>
    <w:link w:val="Title"/>
    <w:rsid w:val="00230159"/>
    <w:rPr>
      <w:rFonts w:ascii="Times New Roman" w:eastAsia="Times New Roman" w:hAnsi="Times New Roman"/>
      <w:b/>
      <w:sz w:val="20"/>
    </w:rPr>
  </w:style>
  <w:style w:type="character" w:customStyle="1" w:styleId="HeaderChar">
    <w:name w:val="Header Char"/>
    <w:link w:val="Header"/>
    <w:uiPriority w:val="99"/>
    <w:rsid w:val="00230159"/>
    <w:rPr>
      <w:rFonts w:ascii="Times New Roman" w:eastAsia="Times New Roman" w:hAnsi="Times New Roman"/>
      <w:sz w:val="24"/>
    </w:rPr>
  </w:style>
  <w:style w:type="character" w:customStyle="1" w:styleId="FooterChar">
    <w:name w:val="Footer Char"/>
    <w:link w:val="Footer"/>
    <w:uiPriority w:val="99"/>
    <w:rsid w:val="00230159"/>
    <w:rPr>
      <w:rFonts w:ascii="Times New Roman" w:eastAsia="Times New Roman" w:hAnsi="Times New Roman"/>
      <w:sz w:val="24"/>
    </w:rPr>
  </w:style>
  <w:style w:type="paragraph" w:styleId="Footer">
    <w:name w:val="footer"/>
    <w:basedOn w:val="Normal"/>
    <w:link w:val="FooterChar"/>
    <w:uiPriority w:val="99"/>
    <w:rsid w:val="00230159"/>
    <w:pPr>
      <w:tabs>
        <w:tab w:val="center" w:pos="4320"/>
        <w:tab w:val="right" w:pos="8640"/>
      </w:tabs>
    </w:pPr>
    <w:rPr>
      <w:rFonts w:cstheme="minorBidi"/>
      <w:szCs w:val="22"/>
    </w:rPr>
  </w:style>
  <w:style w:type="character" w:customStyle="1" w:styleId="FooterChar1">
    <w:name w:val="Footer Char1"/>
    <w:basedOn w:val="DefaultParagraphFont"/>
    <w:uiPriority w:val="99"/>
    <w:semiHidden/>
    <w:rsid w:val="00230159"/>
    <w:rPr>
      <w:rFonts w:ascii="Times New Roman" w:eastAsia="Times New Roman" w:hAnsi="Times New Roman" w:cs="Times New Roman"/>
      <w:sz w:val="24"/>
      <w:szCs w:val="20"/>
    </w:rPr>
  </w:style>
  <w:style w:type="paragraph" w:styleId="Header">
    <w:name w:val="header"/>
    <w:basedOn w:val="Normal"/>
    <w:link w:val="HeaderChar"/>
    <w:uiPriority w:val="99"/>
    <w:rsid w:val="00230159"/>
    <w:pPr>
      <w:tabs>
        <w:tab w:val="center" w:pos="4680"/>
        <w:tab w:val="right" w:pos="9360"/>
      </w:tabs>
    </w:pPr>
    <w:rPr>
      <w:rFonts w:cstheme="minorBidi"/>
      <w:szCs w:val="22"/>
    </w:rPr>
  </w:style>
  <w:style w:type="character" w:customStyle="1" w:styleId="HeaderChar1">
    <w:name w:val="Header Char1"/>
    <w:basedOn w:val="DefaultParagraphFont"/>
    <w:uiPriority w:val="99"/>
    <w:semiHidden/>
    <w:rsid w:val="00230159"/>
    <w:rPr>
      <w:rFonts w:ascii="Times New Roman" w:eastAsia="Times New Roman" w:hAnsi="Times New Roman" w:cs="Times New Roman"/>
      <w:sz w:val="24"/>
      <w:szCs w:val="20"/>
    </w:rPr>
  </w:style>
  <w:style w:type="paragraph" w:customStyle="1" w:styleId="PageNumber1">
    <w:name w:val="Page Number1"/>
    <w:basedOn w:val="Normal"/>
    <w:rsid w:val="00230159"/>
    <w:pPr>
      <w:suppressAutoHyphens/>
      <w:jc w:val="center"/>
    </w:pPr>
    <w:rPr>
      <w:rFonts w:ascii="Times" w:hAnsi="Times"/>
      <w:lang w:eastAsia="ar-SA"/>
    </w:rPr>
  </w:style>
  <w:style w:type="character" w:customStyle="1" w:styleId="TitleChar1">
    <w:name w:val="Title Char1"/>
    <w:basedOn w:val="DefaultParagraphFont"/>
    <w:uiPriority w:val="10"/>
    <w:rsid w:val="00230159"/>
    <w:rPr>
      <w:rFonts w:asciiTheme="majorHAnsi" w:eastAsiaTheme="majorEastAsia" w:hAnsiTheme="majorHAnsi" w:cstheme="majorBidi"/>
      <w:color w:val="17365D" w:themeColor="text2" w:themeShade="BF"/>
      <w:spacing w:val="5"/>
      <w:kern w:val="28"/>
      <w:sz w:val="52"/>
      <w:szCs w:val="52"/>
    </w:rPr>
  </w:style>
  <w:style w:type="paragraph" w:customStyle="1" w:styleId="AbstractTitle">
    <w:name w:val="Abstract Title"/>
    <w:basedOn w:val="Normal"/>
    <w:rsid w:val="00230159"/>
    <w:pPr>
      <w:ind w:left="567" w:right="567"/>
      <w:jc w:val="center"/>
    </w:pPr>
    <w:rPr>
      <w:rFonts w:ascii="Arial" w:hAnsi="Arial"/>
      <w:b/>
      <w:sz w:val="18"/>
      <w:lang w:val="en-GB" w:eastAsia="en-GB"/>
    </w:rPr>
  </w:style>
  <w:style w:type="table" w:styleId="TableGrid">
    <w:name w:val="Table Grid"/>
    <w:basedOn w:val="TableNormal"/>
    <w:uiPriority w:val="59"/>
    <w:rsid w:val="00230159"/>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aliases w:val="Body of text"/>
    <w:basedOn w:val="Normal"/>
    <w:link w:val="ListParagraphChar"/>
    <w:uiPriority w:val="34"/>
    <w:qFormat/>
    <w:rsid w:val="00230159"/>
    <w:pPr>
      <w:spacing w:after="200" w:line="276" w:lineRule="auto"/>
      <w:ind w:left="720"/>
      <w:contextualSpacing/>
    </w:pPr>
    <w:rPr>
      <w:rFonts w:ascii="Calibri" w:eastAsia="Calibri" w:hAnsi="Calibri"/>
      <w:noProof/>
      <w:sz w:val="22"/>
      <w:szCs w:val="22"/>
      <w:lang w:val="id-ID"/>
    </w:rPr>
  </w:style>
  <w:style w:type="character" w:styleId="Emphasis">
    <w:name w:val="Emphasis"/>
    <w:basedOn w:val="DefaultParagraphFont"/>
    <w:uiPriority w:val="20"/>
    <w:qFormat/>
    <w:rsid w:val="00230159"/>
    <w:rPr>
      <w:i/>
      <w:iCs/>
    </w:rPr>
  </w:style>
  <w:style w:type="paragraph" w:styleId="BodyTextIndent2">
    <w:name w:val="Body Text Indent 2"/>
    <w:basedOn w:val="Normal"/>
    <w:link w:val="BodyTextIndent2Char"/>
    <w:uiPriority w:val="99"/>
    <w:semiHidden/>
    <w:unhideWhenUsed/>
    <w:rsid w:val="00230159"/>
    <w:pPr>
      <w:spacing w:after="120" w:line="480" w:lineRule="auto"/>
      <w:ind w:left="360"/>
    </w:pPr>
  </w:style>
  <w:style w:type="character" w:customStyle="1" w:styleId="BodyTextIndent2Char">
    <w:name w:val="Body Text Indent 2 Char"/>
    <w:basedOn w:val="DefaultParagraphFont"/>
    <w:link w:val="BodyTextIndent2"/>
    <w:uiPriority w:val="99"/>
    <w:semiHidden/>
    <w:rsid w:val="00230159"/>
    <w:rPr>
      <w:rFonts w:ascii="Times New Roman" w:eastAsia="Times New Roman" w:hAnsi="Times New Roman" w:cs="Times New Roman"/>
      <w:sz w:val="24"/>
      <w:szCs w:val="20"/>
    </w:rPr>
  </w:style>
  <w:style w:type="character" w:customStyle="1" w:styleId="highlighted">
    <w:name w:val="highlighted"/>
    <w:basedOn w:val="DefaultParagraphFont"/>
    <w:rsid w:val="00FF6B75"/>
  </w:style>
  <w:style w:type="character" w:customStyle="1" w:styleId="ListParagraphChar">
    <w:name w:val="List Paragraph Char"/>
    <w:aliases w:val="Body of text Char"/>
    <w:link w:val="ListParagraph"/>
    <w:uiPriority w:val="34"/>
    <w:locked/>
    <w:rsid w:val="00FF6B75"/>
    <w:rPr>
      <w:rFonts w:ascii="Calibri" w:eastAsia="Calibri" w:hAnsi="Calibri" w:cs="Times New Roman"/>
      <w:noProof/>
      <w:lang w:val="id-ID"/>
    </w:rPr>
  </w:style>
  <w:style w:type="paragraph" w:customStyle="1" w:styleId="Default">
    <w:name w:val="Default"/>
    <w:rsid w:val="00FF6B75"/>
    <w:pPr>
      <w:autoSpaceDE w:val="0"/>
      <w:autoSpaceDN w:val="0"/>
      <w:adjustRightInd w:val="0"/>
    </w:pPr>
    <w:rPr>
      <w:color w:val="000000"/>
      <w:lang w:val="id-ID"/>
    </w:rPr>
  </w:style>
  <w:style w:type="character" w:customStyle="1" w:styleId="A1">
    <w:name w:val="A1"/>
    <w:uiPriority w:val="99"/>
    <w:rsid w:val="00FF6B75"/>
    <w:rPr>
      <w:color w:val="000000"/>
      <w:sz w:val="18"/>
      <w:szCs w:val="18"/>
    </w:rPr>
  </w:style>
  <w:style w:type="paragraph" w:styleId="NormalWeb">
    <w:name w:val="Normal (Web)"/>
    <w:basedOn w:val="Normal"/>
    <w:uiPriority w:val="99"/>
    <w:semiHidden/>
    <w:unhideWhenUsed/>
    <w:rsid w:val="00A74D79"/>
    <w:rPr>
      <w:szCs w:val="24"/>
    </w:rPr>
  </w:style>
  <w:style w:type="paragraph" w:styleId="BalloonText">
    <w:name w:val="Balloon Text"/>
    <w:basedOn w:val="Normal"/>
    <w:link w:val="BalloonTextChar"/>
    <w:uiPriority w:val="99"/>
    <w:semiHidden/>
    <w:unhideWhenUsed/>
    <w:rsid w:val="00887190"/>
    <w:rPr>
      <w:rFonts w:ascii="Tahoma" w:hAnsi="Tahoma" w:cs="Tahoma"/>
      <w:sz w:val="16"/>
      <w:szCs w:val="16"/>
    </w:rPr>
  </w:style>
  <w:style w:type="character" w:customStyle="1" w:styleId="BalloonTextChar">
    <w:name w:val="Balloon Text Char"/>
    <w:basedOn w:val="DefaultParagraphFont"/>
    <w:link w:val="BalloonText"/>
    <w:uiPriority w:val="99"/>
    <w:semiHidden/>
    <w:rsid w:val="00887190"/>
    <w:rPr>
      <w:rFonts w:ascii="Tahoma" w:eastAsia="Times New Roman"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style>
  <w:style w:type="table" w:customStyle="1" w:styleId="a2">
    <w:basedOn w:val="TableNormal"/>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style>
  <w:style w:type="table" w:customStyle="1" w:styleId="a3">
    <w:basedOn w:val="TableNormal"/>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style>
  <w:style w:type="table" w:customStyle="1" w:styleId="a4">
    <w:basedOn w:val="TableNormal"/>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style>
  <w:style w:type="table" w:customStyle="1" w:styleId="Style43">
    <w:name w:val="_Style 43"/>
    <w:basedOn w:val="TableNormal"/>
    <w:rsid w:val="000639CA"/>
    <w:rPr>
      <w:rFonts w:ascii="Calibri" w:hAnsi="Calibri" w:cs="Calibri"/>
      <w:sz w:val="20"/>
      <w:szCs w:val="20"/>
      <w:lang w:val="en-ID"/>
    </w:rPr>
    <w:tblPr>
      <w:tblInd w:w="0" w:type="dxa"/>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0639CA"/>
    <w:rPr>
      <w:color w:val="605E5C"/>
      <w:shd w:val="clear" w:color="auto" w:fill="E1DFDD"/>
    </w:rPr>
  </w:style>
  <w:style w:type="character" w:styleId="CommentReference">
    <w:name w:val="annotation reference"/>
    <w:basedOn w:val="DefaultParagraphFont"/>
    <w:uiPriority w:val="99"/>
    <w:semiHidden/>
    <w:unhideWhenUsed/>
    <w:rsid w:val="00A274B2"/>
    <w:rPr>
      <w:sz w:val="16"/>
      <w:szCs w:val="16"/>
    </w:rPr>
  </w:style>
  <w:style w:type="paragraph" w:styleId="CommentText">
    <w:name w:val="annotation text"/>
    <w:basedOn w:val="Normal"/>
    <w:link w:val="CommentTextChar"/>
    <w:uiPriority w:val="99"/>
    <w:semiHidden/>
    <w:unhideWhenUsed/>
    <w:rsid w:val="00A274B2"/>
    <w:rPr>
      <w:sz w:val="20"/>
    </w:rPr>
  </w:style>
  <w:style w:type="character" w:customStyle="1" w:styleId="CommentTextChar">
    <w:name w:val="Comment Text Char"/>
    <w:basedOn w:val="DefaultParagraphFont"/>
    <w:link w:val="CommentText"/>
    <w:uiPriority w:val="99"/>
    <w:semiHidden/>
    <w:rsid w:val="00A274B2"/>
    <w:rPr>
      <w:sz w:val="20"/>
      <w:szCs w:val="20"/>
    </w:rPr>
  </w:style>
  <w:style w:type="paragraph" w:styleId="CommentSubject">
    <w:name w:val="annotation subject"/>
    <w:basedOn w:val="CommentText"/>
    <w:next w:val="CommentText"/>
    <w:link w:val="CommentSubjectChar"/>
    <w:uiPriority w:val="99"/>
    <w:semiHidden/>
    <w:unhideWhenUsed/>
    <w:rsid w:val="00A274B2"/>
    <w:rPr>
      <w:b/>
      <w:bCs/>
    </w:rPr>
  </w:style>
  <w:style w:type="character" w:customStyle="1" w:styleId="CommentSubjectChar">
    <w:name w:val="Comment Subject Char"/>
    <w:basedOn w:val="CommentTextChar"/>
    <w:link w:val="CommentSubject"/>
    <w:uiPriority w:val="99"/>
    <w:semiHidden/>
    <w:rsid w:val="00A274B2"/>
    <w:rPr>
      <w:b/>
      <w:bCs/>
      <w:sz w:val="20"/>
      <w:szCs w:val="20"/>
    </w:rPr>
  </w:style>
  <w:style w:type="character" w:styleId="Strong">
    <w:name w:val="Strong"/>
    <w:basedOn w:val="DefaultParagraphFont"/>
    <w:uiPriority w:val="22"/>
    <w:qFormat/>
    <w:rsid w:val="00A274B2"/>
    <w:rPr>
      <w:b/>
      <w:bCs/>
    </w:rPr>
  </w:style>
  <w:style w:type="character" w:styleId="FootnoteReference">
    <w:name w:val="footnote reference"/>
    <w:basedOn w:val="DefaultParagraphFont"/>
    <w:uiPriority w:val="99"/>
    <w:semiHidden/>
    <w:unhideWhenUsed/>
    <w:rsid w:val="00CC3004"/>
    <w:rPr>
      <w:vertAlign w:val="superscript"/>
    </w:rPr>
  </w:style>
  <w:style w:type="paragraph" w:styleId="FootnoteText">
    <w:name w:val="footnote text"/>
    <w:basedOn w:val="Normal"/>
    <w:link w:val="FootnoteTextChar"/>
    <w:uiPriority w:val="99"/>
    <w:semiHidden/>
    <w:unhideWhenUsed/>
    <w:rsid w:val="003B560C"/>
    <w:rPr>
      <w:sz w:val="20"/>
    </w:rPr>
  </w:style>
  <w:style w:type="character" w:customStyle="1" w:styleId="FootnoteTextChar">
    <w:name w:val="Footnote Text Char"/>
    <w:basedOn w:val="DefaultParagraphFont"/>
    <w:link w:val="FootnoteText"/>
    <w:uiPriority w:val="99"/>
    <w:semiHidden/>
    <w:rsid w:val="003B560C"/>
    <w:rPr>
      <w:sz w:val="20"/>
      <w:szCs w:val="20"/>
    </w:rPr>
  </w:style>
  <w:style w:type="character" w:customStyle="1" w:styleId="UnresolvedMention2">
    <w:name w:val="Unresolved Mention2"/>
    <w:basedOn w:val="DefaultParagraphFont"/>
    <w:uiPriority w:val="99"/>
    <w:semiHidden/>
    <w:unhideWhenUsed/>
    <w:rsid w:val="007354F1"/>
    <w:rPr>
      <w:color w:val="605E5C"/>
      <w:shd w:val="clear" w:color="auto" w:fill="E1DFDD"/>
    </w:rPr>
  </w:style>
  <w:style w:type="character" w:customStyle="1" w:styleId="UnresolvedMention">
    <w:name w:val="Unresolved Mention"/>
    <w:basedOn w:val="DefaultParagraphFont"/>
    <w:uiPriority w:val="99"/>
    <w:semiHidden/>
    <w:unhideWhenUsed/>
    <w:rsid w:val="00AB57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9807">
      <w:bodyDiv w:val="1"/>
      <w:marLeft w:val="0"/>
      <w:marRight w:val="0"/>
      <w:marTop w:val="0"/>
      <w:marBottom w:val="0"/>
      <w:divBdr>
        <w:top w:val="none" w:sz="0" w:space="0" w:color="auto"/>
        <w:left w:val="none" w:sz="0" w:space="0" w:color="auto"/>
        <w:bottom w:val="none" w:sz="0" w:space="0" w:color="auto"/>
        <w:right w:val="none" w:sz="0" w:space="0" w:color="auto"/>
      </w:divBdr>
    </w:div>
    <w:div w:id="29300895">
      <w:bodyDiv w:val="1"/>
      <w:marLeft w:val="0"/>
      <w:marRight w:val="0"/>
      <w:marTop w:val="0"/>
      <w:marBottom w:val="0"/>
      <w:divBdr>
        <w:top w:val="none" w:sz="0" w:space="0" w:color="auto"/>
        <w:left w:val="none" w:sz="0" w:space="0" w:color="auto"/>
        <w:bottom w:val="none" w:sz="0" w:space="0" w:color="auto"/>
        <w:right w:val="none" w:sz="0" w:space="0" w:color="auto"/>
      </w:divBdr>
    </w:div>
    <w:div w:id="52822857">
      <w:bodyDiv w:val="1"/>
      <w:marLeft w:val="0"/>
      <w:marRight w:val="0"/>
      <w:marTop w:val="0"/>
      <w:marBottom w:val="0"/>
      <w:divBdr>
        <w:top w:val="none" w:sz="0" w:space="0" w:color="auto"/>
        <w:left w:val="none" w:sz="0" w:space="0" w:color="auto"/>
        <w:bottom w:val="none" w:sz="0" w:space="0" w:color="auto"/>
        <w:right w:val="none" w:sz="0" w:space="0" w:color="auto"/>
      </w:divBdr>
    </w:div>
    <w:div w:id="93330979">
      <w:bodyDiv w:val="1"/>
      <w:marLeft w:val="0"/>
      <w:marRight w:val="0"/>
      <w:marTop w:val="0"/>
      <w:marBottom w:val="0"/>
      <w:divBdr>
        <w:top w:val="none" w:sz="0" w:space="0" w:color="auto"/>
        <w:left w:val="none" w:sz="0" w:space="0" w:color="auto"/>
        <w:bottom w:val="none" w:sz="0" w:space="0" w:color="auto"/>
        <w:right w:val="none" w:sz="0" w:space="0" w:color="auto"/>
      </w:divBdr>
    </w:div>
    <w:div w:id="121116169">
      <w:bodyDiv w:val="1"/>
      <w:marLeft w:val="0"/>
      <w:marRight w:val="0"/>
      <w:marTop w:val="0"/>
      <w:marBottom w:val="0"/>
      <w:divBdr>
        <w:top w:val="none" w:sz="0" w:space="0" w:color="auto"/>
        <w:left w:val="none" w:sz="0" w:space="0" w:color="auto"/>
        <w:bottom w:val="none" w:sz="0" w:space="0" w:color="auto"/>
        <w:right w:val="none" w:sz="0" w:space="0" w:color="auto"/>
      </w:divBdr>
    </w:div>
    <w:div w:id="199436076">
      <w:bodyDiv w:val="1"/>
      <w:marLeft w:val="0"/>
      <w:marRight w:val="0"/>
      <w:marTop w:val="0"/>
      <w:marBottom w:val="0"/>
      <w:divBdr>
        <w:top w:val="none" w:sz="0" w:space="0" w:color="auto"/>
        <w:left w:val="none" w:sz="0" w:space="0" w:color="auto"/>
        <w:bottom w:val="none" w:sz="0" w:space="0" w:color="auto"/>
        <w:right w:val="none" w:sz="0" w:space="0" w:color="auto"/>
      </w:divBdr>
    </w:div>
    <w:div w:id="368990649">
      <w:bodyDiv w:val="1"/>
      <w:marLeft w:val="0"/>
      <w:marRight w:val="0"/>
      <w:marTop w:val="0"/>
      <w:marBottom w:val="0"/>
      <w:divBdr>
        <w:top w:val="none" w:sz="0" w:space="0" w:color="auto"/>
        <w:left w:val="none" w:sz="0" w:space="0" w:color="auto"/>
        <w:bottom w:val="none" w:sz="0" w:space="0" w:color="auto"/>
        <w:right w:val="none" w:sz="0" w:space="0" w:color="auto"/>
      </w:divBdr>
    </w:div>
    <w:div w:id="435515668">
      <w:bodyDiv w:val="1"/>
      <w:marLeft w:val="0"/>
      <w:marRight w:val="0"/>
      <w:marTop w:val="0"/>
      <w:marBottom w:val="0"/>
      <w:divBdr>
        <w:top w:val="none" w:sz="0" w:space="0" w:color="auto"/>
        <w:left w:val="none" w:sz="0" w:space="0" w:color="auto"/>
        <w:bottom w:val="none" w:sz="0" w:space="0" w:color="auto"/>
        <w:right w:val="none" w:sz="0" w:space="0" w:color="auto"/>
      </w:divBdr>
    </w:div>
    <w:div w:id="519395404">
      <w:bodyDiv w:val="1"/>
      <w:marLeft w:val="0"/>
      <w:marRight w:val="0"/>
      <w:marTop w:val="0"/>
      <w:marBottom w:val="0"/>
      <w:divBdr>
        <w:top w:val="none" w:sz="0" w:space="0" w:color="auto"/>
        <w:left w:val="none" w:sz="0" w:space="0" w:color="auto"/>
        <w:bottom w:val="none" w:sz="0" w:space="0" w:color="auto"/>
        <w:right w:val="none" w:sz="0" w:space="0" w:color="auto"/>
      </w:divBdr>
    </w:div>
    <w:div w:id="542330576">
      <w:bodyDiv w:val="1"/>
      <w:marLeft w:val="0"/>
      <w:marRight w:val="0"/>
      <w:marTop w:val="0"/>
      <w:marBottom w:val="0"/>
      <w:divBdr>
        <w:top w:val="none" w:sz="0" w:space="0" w:color="auto"/>
        <w:left w:val="none" w:sz="0" w:space="0" w:color="auto"/>
        <w:bottom w:val="none" w:sz="0" w:space="0" w:color="auto"/>
        <w:right w:val="none" w:sz="0" w:space="0" w:color="auto"/>
      </w:divBdr>
    </w:div>
    <w:div w:id="545993410">
      <w:bodyDiv w:val="1"/>
      <w:marLeft w:val="0"/>
      <w:marRight w:val="0"/>
      <w:marTop w:val="0"/>
      <w:marBottom w:val="0"/>
      <w:divBdr>
        <w:top w:val="none" w:sz="0" w:space="0" w:color="auto"/>
        <w:left w:val="none" w:sz="0" w:space="0" w:color="auto"/>
        <w:bottom w:val="none" w:sz="0" w:space="0" w:color="auto"/>
        <w:right w:val="none" w:sz="0" w:space="0" w:color="auto"/>
      </w:divBdr>
    </w:div>
    <w:div w:id="598828731">
      <w:bodyDiv w:val="1"/>
      <w:marLeft w:val="0"/>
      <w:marRight w:val="0"/>
      <w:marTop w:val="0"/>
      <w:marBottom w:val="0"/>
      <w:divBdr>
        <w:top w:val="none" w:sz="0" w:space="0" w:color="auto"/>
        <w:left w:val="none" w:sz="0" w:space="0" w:color="auto"/>
        <w:bottom w:val="none" w:sz="0" w:space="0" w:color="auto"/>
        <w:right w:val="none" w:sz="0" w:space="0" w:color="auto"/>
      </w:divBdr>
    </w:div>
    <w:div w:id="672147055">
      <w:bodyDiv w:val="1"/>
      <w:marLeft w:val="0"/>
      <w:marRight w:val="0"/>
      <w:marTop w:val="0"/>
      <w:marBottom w:val="0"/>
      <w:divBdr>
        <w:top w:val="none" w:sz="0" w:space="0" w:color="auto"/>
        <w:left w:val="none" w:sz="0" w:space="0" w:color="auto"/>
        <w:bottom w:val="none" w:sz="0" w:space="0" w:color="auto"/>
        <w:right w:val="none" w:sz="0" w:space="0" w:color="auto"/>
      </w:divBdr>
    </w:div>
    <w:div w:id="699890180">
      <w:bodyDiv w:val="1"/>
      <w:marLeft w:val="0"/>
      <w:marRight w:val="0"/>
      <w:marTop w:val="0"/>
      <w:marBottom w:val="0"/>
      <w:divBdr>
        <w:top w:val="none" w:sz="0" w:space="0" w:color="auto"/>
        <w:left w:val="none" w:sz="0" w:space="0" w:color="auto"/>
        <w:bottom w:val="none" w:sz="0" w:space="0" w:color="auto"/>
        <w:right w:val="none" w:sz="0" w:space="0" w:color="auto"/>
      </w:divBdr>
    </w:div>
    <w:div w:id="711854678">
      <w:bodyDiv w:val="1"/>
      <w:marLeft w:val="0"/>
      <w:marRight w:val="0"/>
      <w:marTop w:val="0"/>
      <w:marBottom w:val="0"/>
      <w:divBdr>
        <w:top w:val="none" w:sz="0" w:space="0" w:color="auto"/>
        <w:left w:val="none" w:sz="0" w:space="0" w:color="auto"/>
        <w:bottom w:val="none" w:sz="0" w:space="0" w:color="auto"/>
        <w:right w:val="none" w:sz="0" w:space="0" w:color="auto"/>
      </w:divBdr>
    </w:div>
    <w:div w:id="805661282">
      <w:bodyDiv w:val="1"/>
      <w:marLeft w:val="0"/>
      <w:marRight w:val="0"/>
      <w:marTop w:val="0"/>
      <w:marBottom w:val="0"/>
      <w:divBdr>
        <w:top w:val="none" w:sz="0" w:space="0" w:color="auto"/>
        <w:left w:val="none" w:sz="0" w:space="0" w:color="auto"/>
        <w:bottom w:val="none" w:sz="0" w:space="0" w:color="auto"/>
        <w:right w:val="none" w:sz="0" w:space="0" w:color="auto"/>
      </w:divBdr>
    </w:div>
    <w:div w:id="814494868">
      <w:bodyDiv w:val="1"/>
      <w:marLeft w:val="0"/>
      <w:marRight w:val="0"/>
      <w:marTop w:val="0"/>
      <w:marBottom w:val="0"/>
      <w:divBdr>
        <w:top w:val="none" w:sz="0" w:space="0" w:color="auto"/>
        <w:left w:val="none" w:sz="0" w:space="0" w:color="auto"/>
        <w:bottom w:val="none" w:sz="0" w:space="0" w:color="auto"/>
        <w:right w:val="none" w:sz="0" w:space="0" w:color="auto"/>
      </w:divBdr>
    </w:div>
    <w:div w:id="849418569">
      <w:bodyDiv w:val="1"/>
      <w:marLeft w:val="0"/>
      <w:marRight w:val="0"/>
      <w:marTop w:val="0"/>
      <w:marBottom w:val="0"/>
      <w:divBdr>
        <w:top w:val="none" w:sz="0" w:space="0" w:color="auto"/>
        <w:left w:val="none" w:sz="0" w:space="0" w:color="auto"/>
        <w:bottom w:val="none" w:sz="0" w:space="0" w:color="auto"/>
        <w:right w:val="none" w:sz="0" w:space="0" w:color="auto"/>
      </w:divBdr>
    </w:div>
    <w:div w:id="968626384">
      <w:bodyDiv w:val="1"/>
      <w:marLeft w:val="0"/>
      <w:marRight w:val="0"/>
      <w:marTop w:val="0"/>
      <w:marBottom w:val="0"/>
      <w:divBdr>
        <w:top w:val="none" w:sz="0" w:space="0" w:color="auto"/>
        <w:left w:val="none" w:sz="0" w:space="0" w:color="auto"/>
        <w:bottom w:val="none" w:sz="0" w:space="0" w:color="auto"/>
        <w:right w:val="none" w:sz="0" w:space="0" w:color="auto"/>
      </w:divBdr>
    </w:div>
    <w:div w:id="1266619961">
      <w:bodyDiv w:val="1"/>
      <w:marLeft w:val="0"/>
      <w:marRight w:val="0"/>
      <w:marTop w:val="0"/>
      <w:marBottom w:val="0"/>
      <w:divBdr>
        <w:top w:val="none" w:sz="0" w:space="0" w:color="auto"/>
        <w:left w:val="none" w:sz="0" w:space="0" w:color="auto"/>
        <w:bottom w:val="none" w:sz="0" w:space="0" w:color="auto"/>
        <w:right w:val="none" w:sz="0" w:space="0" w:color="auto"/>
      </w:divBdr>
    </w:div>
    <w:div w:id="1448811258">
      <w:bodyDiv w:val="1"/>
      <w:marLeft w:val="0"/>
      <w:marRight w:val="0"/>
      <w:marTop w:val="0"/>
      <w:marBottom w:val="0"/>
      <w:divBdr>
        <w:top w:val="none" w:sz="0" w:space="0" w:color="auto"/>
        <w:left w:val="none" w:sz="0" w:space="0" w:color="auto"/>
        <w:bottom w:val="none" w:sz="0" w:space="0" w:color="auto"/>
        <w:right w:val="none" w:sz="0" w:space="0" w:color="auto"/>
      </w:divBdr>
    </w:div>
    <w:div w:id="1458377654">
      <w:bodyDiv w:val="1"/>
      <w:marLeft w:val="0"/>
      <w:marRight w:val="0"/>
      <w:marTop w:val="0"/>
      <w:marBottom w:val="0"/>
      <w:divBdr>
        <w:top w:val="none" w:sz="0" w:space="0" w:color="auto"/>
        <w:left w:val="none" w:sz="0" w:space="0" w:color="auto"/>
        <w:bottom w:val="none" w:sz="0" w:space="0" w:color="auto"/>
        <w:right w:val="none" w:sz="0" w:space="0" w:color="auto"/>
      </w:divBdr>
    </w:div>
    <w:div w:id="1472167264">
      <w:bodyDiv w:val="1"/>
      <w:marLeft w:val="0"/>
      <w:marRight w:val="0"/>
      <w:marTop w:val="0"/>
      <w:marBottom w:val="0"/>
      <w:divBdr>
        <w:top w:val="none" w:sz="0" w:space="0" w:color="auto"/>
        <w:left w:val="none" w:sz="0" w:space="0" w:color="auto"/>
        <w:bottom w:val="none" w:sz="0" w:space="0" w:color="auto"/>
        <w:right w:val="none" w:sz="0" w:space="0" w:color="auto"/>
      </w:divBdr>
    </w:div>
    <w:div w:id="1551839016">
      <w:bodyDiv w:val="1"/>
      <w:marLeft w:val="0"/>
      <w:marRight w:val="0"/>
      <w:marTop w:val="0"/>
      <w:marBottom w:val="0"/>
      <w:divBdr>
        <w:top w:val="none" w:sz="0" w:space="0" w:color="auto"/>
        <w:left w:val="none" w:sz="0" w:space="0" w:color="auto"/>
        <w:bottom w:val="none" w:sz="0" w:space="0" w:color="auto"/>
        <w:right w:val="none" w:sz="0" w:space="0" w:color="auto"/>
      </w:divBdr>
    </w:div>
    <w:div w:id="1582182593">
      <w:bodyDiv w:val="1"/>
      <w:marLeft w:val="0"/>
      <w:marRight w:val="0"/>
      <w:marTop w:val="0"/>
      <w:marBottom w:val="0"/>
      <w:divBdr>
        <w:top w:val="none" w:sz="0" w:space="0" w:color="auto"/>
        <w:left w:val="none" w:sz="0" w:space="0" w:color="auto"/>
        <w:bottom w:val="none" w:sz="0" w:space="0" w:color="auto"/>
        <w:right w:val="none" w:sz="0" w:space="0" w:color="auto"/>
      </w:divBdr>
    </w:div>
    <w:div w:id="1596787905">
      <w:bodyDiv w:val="1"/>
      <w:marLeft w:val="0"/>
      <w:marRight w:val="0"/>
      <w:marTop w:val="0"/>
      <w:marBottom w:val="0"/>
      <w:divBdr>
        <w:top w:val="none" w:sz="0" w:space="0" w:color="auto"/>
        <w:left w:val="none" w:sz="0" w:space="0" w:color="auto"/>
        <w:bottom w:val="none" w:sz="0" w:space="0" w:color="auto"/>
        <w:right w:val="none" w:sz="0" w:space="0" w:color="auto"/>
      </w:divBdr>
    </w:div>
    <w:div w:id="1659455232">
      <w:bodyDiv w:val="1"/>
      <w:marLeft w:val="0"/>
      <w:marRight w:val="0"/>
      <w:marTop w:val="0"/>
      <w:marBottom w:val="0"/>
      <w:divBdr>
        <w:top w:val="none" w:sz="0" w:space="0" w:color="auto"/>
        <w:left w:val="none" w:sz="0" w:space="0" w:color="auto"/>
        <w:bottom w:val="none" w:sz="0" w:space="0" w:color="auto"/>
        <w:right w:val="none" w:sz="0" w:space="0" w:color="auto"/>
      </w:divBdr>
    </w:div>
    <w:div w:id="1705405503">
      <w:bodyDiv w:val="1"/>
      <w:marLeft w:val="0"/>
      <w:marRight w:val="0"/>
      <w:marTop w:val="0"/>
      <w:marBottom w:val="0"/>
      <w:divBdr>
        <w:top w:val="none" w:sz="0" w:space="0" w:color="auto"/>
        <w:left w:val="none" w:sz="0" w:space="0" w:color="auto"/>
        <w:bottom w:val="none" w:sz="0" w:space="0" w:color="auto"/>
        <w:right w:val="none" w:sz="0" w:space="0" w:color="auto"/>
      </w:divBdr>
    </w:div>
    <w:div w:id="1723552279">
      <w:bodyDiv w:val="1"/>
      <w:marLeft w:val="0"/>
      <w:marRight w:val="0"/>
      <w:marTop w:val="0"/>
      <w:marBottom w:val="0"/>
      <w:divBdr>
        <w:top w:val="none" w:sz="0" w:space="0" w:color="auto"/>
        <w:left w:val="none" w:sz="0" w:space="0" w:color="auto"/>
        <w:bottom w:val="none" w:sz="0" w:space="0" w:color="auto"/>
        <w:right w:val="none" w:sz="0" w:space="0" w:color="auto"/>
      </w:divBdr>
    </w:div>
    <w:div w:id="1750958063">
      <w:bodyDiv w:val="1"/>
      <w:marLeft w:val="0"/>
      <w:marRight w:val="0"/>
      <w:marTop w:val="0"/>
      <w:marBottom w:val="0"/>
      <w:divBdr>
        <w:top w:val="none" w:sz="0" w:space="0" w:color="auto"/>
        <w:left w:val="none" w:sz="0" w:space="0" w:color="auto"/>
        <w:bottom w:val="none" w:sz="0" w:space="0" w:color="auto"/>
        <w:right w:val="none" w:sz="0" w:space="0" w:color="auto"/>
      </w:divBdr>
    </w:div>
    <w:div w:id="1752192965">
      <w:bodyDiv w:val="1"/>
      <w:marLeft w:val="0"/>
      <w:marRight w:val="0"/>
      <w:marTop w:val="0"/>
      <w:marBottom w:val="0"/>
      <w:divBdr>
        <w:top w:val="none" w:sz="0" w:space="0" w:color="auto"/>
        <w:left w:val="none" w:sz="0" w:space="0" w:color="auto"/>
        <w:bottom w:val="none" w:sz="0" w:space="0" w:color="auto"/>
        <w:right w:val="none" w:sz="0" w:space="0" w:color="auto"/>
      </w:divBdr>
    </w:div>
    <w:div w:id="1754277280">
      <w:bodyDiv w:val="1"/>
      <w:marLeft w:val="0"/>
      <w:marRight w:val="0"/>
      <w:marTop w:val="0"/>
      <w:marBottom w:val="0"/>
      <w:divBdr>
        <w:top w:val="none" w:sz="0" w:space="0" w:color="auto"/>
        <w:left w:val="none" w:sz="0" w:space="0" w:color="auto"/>
        <w:bottom w:val="none" w:sz="0" w:space="0" w:color="auto"/>
        <w:right w:val="none" w:sz="0" w:space="0" w:color="auto"/>
      </w:divBdr>
    </w:div>
    <w:div w:id="1778451234">
      <w:bodyDiv w:val="1"/>
      <w:marLeft w:val="0"/>
      <w:marRight w:val="0"/>
      <w:marTop w:val="0"/>
      <w:marBottom w:val="0"/>
      <w:divBdr>
        <w:top w:val="none" w:sz="0" w:space="0" w:color="auto"/>
        <w:left w:val="none" w:sz="0" w:space="0" w:color="auto"/>
        <w:bottom w:val="none" w:sz="0" w:space="0" w:color="auto"/>
        <w:right w:val="none" w:sz="0" w:space="0" w:color="auto"/>
      </w:divBdr>
    </w:div>
    <w:div w:id="1803694027">
      <w:bodyDiv w:val="1"/>
      <w:marLeft w:val="0"/>
      <w:marRight w:val="0"/>
      <w:marTop w:val="0"/>
      <w:marBottom w:val="0"/>
      <w:divBdr>
        <w:top w:val="none" w:sz="0" w:space="0" w:color="auto"/>
        <w:left w:val="none" w:sz="0" w:space="0" w:color="auto"/>
        <w:bottom w:val="none" w:sz="0" w:space="0" w:color="auto"/>
        <w:right w:val="none" w:sz="0" w:space="0" w:color="auto"/>
      </w:divBdr>
    </w:div>
    <w:div w:id="1897207226">
      <w:bodyDiv w:val="1"/>
      <w:marLeft w:val="0"/>
      <w:marRight w:val="0"/>
      <w:marTop w:val="0"/>
      <w:marBottom w:val="0"/>
      <w:divBdr>
        <w:top w:val="none" w:sz="0" w:space="0" w:color="auto"/>
        <w:left w:val="none" w:sz="0" w:space="0" w:color="auto"/>
        <w:bottom w:val="none" w:sz="0" w:space="0" w:color="auto"/>
        <w:right w:val="none" w:sz="0" w:space="0" w:color="auto"/>
      </w:divBdr>
    </w:div>
    <w:div w:id="1962685968">
      <w:bodyDiv w:val="1"/>
      <w:marLeft w:val="0"/>
      <w:marRight w:val="0"/>
      <w:marTop w:val="0"/>
      <w:marBottom w:val="0"/>
      <w:divBdr>
        <w:top w:val="none" w:sz="0" w:space="0" w:color="auto"/>
        <w:left w:val="none" w:sz="0" w:space="0" w:color="auto"/>
        <w:bottom w:val="none" w:sz="0" w:space="0" w:color="auto"/>
        <w:right w:val="none" w:sz="0" w:space="0" w:color="auto"/>
      </w:divBdr>
    </w:div>
    <w:div w:id="1999918787">
      <w:bodyDiv w:val="1"/>
      <w:marLeft w:val="0"/>
      <w:marRight w:val="0"/>
      <w:marTop w:val="0"/>
      <w:marBottom w:val="0"/>
      <w:divBdr>
        <w:top w:val="none" w:sz="0" w:space="0" w:color="auto"/>
        <w:left w:val="none" w:sz="0" w:space="0" w:color="auto"/>
        <w:bottom w:val="none" w:sz="0" w:space="0" w:color="auto"/>
        <w:right w:val="none" w:sz="0" w:space="0" w:color="auto"/>
      </w:divBdr>
    </w:div>
    <w:div w:id="2015645522">
      <w:bodyDiv w:val="1"/>
      <w:marLeft w:val="0"/>
      <w:marRight w:val="0"/>
      <w:marTop w:val="0"/>
      <w:marBottom w:val="0"/>
      <w:divBdr>
        <w:top w:val="none" w:sz="0" w:space="0" w:color="auto"/>
        <w:left w:val="none" w:sz="0" w:space="0" w:color="auto"/>
        <w:bottom w:val="none" w:sz="0" w:space="0" w:color="auto"/>
        <w:right w:val="none" w:sz="0" w:space="0" w:color="auto"/>
      </w:divBdr>
    </w:div>
    <w:div w:id="2033409325">
      <w:bodyDiv w:val="1"/>
      <w:marLeft w:val="0"/>
      <w:marRight w:val="0"/>
      <w:marTop w:val="0"/>
      <w:marBottom w:val="0"/>
      <w:divBdr>
        <w:top w:val="none" w:sz="0" w:space="0" w:color="auto"/>
        <w:left w:val="none" w:sz="0" w:space="0" w:color="auto"/>
        <w:bottom w:val="none" w:sz="0" w:space="0" w:color="auto"/>
        <w:right w:val="none" w:sz="0" w:space="0" w:color="auto"/>
      </w:divBdr>
    </w:div>
    <w:div w:id="2040163286">
      <w:bodyDiv w:val="1"/>
      <w:marLeft w:val="0"/>
      <w:marRight w:val="0"/>
      <w:marTop w:val="0"/>
      <w:marBottom w:val="0"/>
      <w:divBdr>
        <w:top w:val="none" w:sz="0" w:space="0" w:color="auto"/>
        <w:left w:val="none" w:sz="0" w:space="0" w:color="auto"/>
        <w:bottom w:val="none" w:sz="0" w:space="0" w:color="auto"/>
        <w:right w:val="none" w:sz="0" w:space="0" w:color="auto"/>
      </w:divBdr>
    </w:div>
    <w:div w:id="2068334696">
      <w:bodyDiv w:val="1"/>
      <w:marLeft w:val="0"/>
      <w:marRight w:val="0"/>
      <w:marTop w:val="0"/>
      <w:marBottom w:val="0"/>
      <w:divBdr>
        <w:top w:val="none" w:sz="0" w:space="0" w:color="auto"/>
        <w:left w:val="none" w:sz="0" w:space="0" w:color="auto"/>
        <w:bottom w:val="none" w:sz="0" w:space="0" w:color="auto"/>
        <w:right w:val="none" w:sz="0" w:space="0" w:color="auto"/>
      </w:divBdr>
    </w:div>
    <w:div w:id="21360176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hyperlink" Target="https://doi.org/10.31603/tarbiyatuna.v12i2.4996" TargetMode="External"/><Relationship Id="rId39" Type="http://schemas.openxmlformats.org/officeDocument/2006/relationships/hyperlink" Target="https://doi.org/10.62951/jpm.v1i4.921" TargetMode="External"/><Relationship Id="rId21" Type="http://schemas.openxmlformats.org/officeDocument/2006/relationships/hyperlink" Target="https://doi.org/10.26555/almisbah.v9i2.3908" TargetMode="External"/><Relationship Id="rId34" Type="http://schemas.openxmlformats.org/officeDocument/2006/relationships/hyperlink" Target="https://doi.org/10.24252/jis.v7i1.15035" TargetMode="External"/><Relationship Id="rId42" Type="http://schemas.openxmlformats.org/officeDocument/2006/relationships/hyperlink" Target="https://doi.org/10.31004/jptam.v6i2.3895" TargetMode="External"/><Relationship Id="rId47" Type="http://schemas.openxmlformats.org/officeDocument/2006/relationships/hyperlink" Target="https://doi.org/https:/pub.ruangrosadi.com/jurnal-ilmiah/index.php/jedar/article/view/22" TargetMode="External"/><Relationship Id="rId50" Type="http://schemas.openxmlformats.org/officeDocument/2006/relationships/hyperlink" Target="https://doi.org/10.14421/jpai.v21i2.8238" TargetMode="External"/><Relationship Id="rId55" Type="http://schemas.openxmlformats.org/officeDocument/2006/relationships/hyperlink" Target="https://doi.org/10.24036/ijmurhica.v4i1.152" TargetMode="External"/><Relationship Id="rId63" Type="http://schemas.openxmlformats.org/officeDocument/2006/relationships/hyperlink" Target="https://doi.org/10.46870/jiat.v4i1.178.3" TargetMode="External"/><Relationship Id="rId68"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doi.org/10.61104/ihsan.v2i2.117" TargetMode="External"/><Relationship Id="rId11" Type="http://schemas.openxmlformats.org/officeDocument/2006/relationships/hyperlink" Target="mailto:zainaphartati@iain-palangkaraya.ac.id@mail.com" TargetMode="External"/><Relationship Id="rId24" Type="http://schemas.openxmlformats.org/officeDocument/2006/relationships/hyperlink" Target="https://doi.org/10.59837/jpmba.v2i8.1527" TargetMode="External"/><Relationship Id="rId32" Type="http://schemas.openxmlformats.org/officeDocument/2006/relationships/hyperlink" Target="https://doi.org/10.35719/jier.v5i3.450" TargetMode="External"/><Relationship Id="rId37" Type="http://schemas.openxmlformats.org/officeDocument/2006/relationships/hyperlink" Target="https://doi.org/10.37680/qalamuna.v14i2.3764" TargetMode="External"/><Relationship Id="rId40" Type="http://schemas.openxmlformats.org/officeDocument/2006/relationships/hyperlink" Target="https://doi.org/10.58485/jie.v2i1.188" TargetMode="External"/><Relationship Id="rId45" Type="http://schemas.openxmlformats.org/officeDocument/2006/relationships/hyperlink" Target="https://gembirapkm.my.id/index.php/jurnal/article/view/678" TargetMode="External"/><Relationship Id="rId53" Type="http://schemas.openxmlformats.org/officeDocument/2006/relationships/hyperlink" Target="https://doi.org/10.26555/jecce.v5i1.5974" TargetMode="External"/><Relationship Id="rId58" Type="http://schemas.openxmlformats.org/officeDocument/2006/relationships/hyperlink" Target="https://doi.org/10.37680/scaffolding.v6i3.6411" TargetMode="External"/><Relationship Id="rId66" Type="http://schemas.openxmlformats.org/officeDocument/2006/relationships/hyperlink" Target="https://doi.org/https:/doi.org/10.53802/fitrah.v6i1.1135" TargetMode="External"/><Relationship Id="rId7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s://doi.org/http:/dx.doi.org/10.17977/um025v9i12024p60" TargetMode="External"/><Relationship Id="rId28" Type="http://schemas.openxmlformats.org/officeDocument/2006/relationships/hyperlink" Target="https://doi.org/https:/ejurnals.com/ojs/index.php/jdpn/article/view/1397/1637" TargetMode="External"/><Relationship Id="rId36" Type="http://schemas.openxmlformats.org/officeDocument/2006/relationships/hyperlink" Target="https://doi.org/10.33511/misykat.v1n1.181" TargetMode="External"/><Relationship Id="rId49" Type="http://schemas.openxmlformats.org/officeDocument/2006/relationships/hyperlink" Target="https://doi.org/https:/inlislite.uin-suska.ac.id/opac/detail-opac?id=12221" TargetMode="External"/><Relationship Id="rId57" Type="http://schemas.openxmlformats.org/officeDocument/2006/relationships/hyperlink" Target="https://doi.org/10.33650/afkarina.v9i1.9357" TargetMode="External"/><Relationship Id="rId61" Type="http://schemas.openxmlformats.org/officeDocument/2006/relationships/hyperlink" Target="https://doi.org/10.61136/pmm29y60" TargetMode="External"/><Relationship Id="rId10" Type="http://schemas.openxmlformats.org/officeDocument/2006/relationships/hyperlink" Target="mailto:muhammadrizqi2211110069@iain-palangkaraya.ac.id" TargetMode="External"/><Relationship Id="rId19" Type="http://schemas.openxmlformats.org/officeDocument/2006/relationships/image" Target="media/image6.jpeg"/><Relationship Id="rId31" Type="http://schemas.openxmlformats.org/officeDocument/2006/relationships/hyperlink" Target="https://doi.org/10.24252/al-daulah." TargetMode="External"/><Relationship Id="rId44" Type="http://schemas.openxmlformats.org/officeDocument/2006/relationships/hyperlink" Target="https://doi.org/10.21070/ijis.v12i2.1718" TargetMode="External"/><Relationship Id="rId52" Type="http://schemas.openxmlformats.org/officeDocument/2006/relationships/hyperlink" Target="https://doi.org/10.22373/jm.v13i2.22103" TargetMode="External"/><Relationship Id="rId60" Type="http://schemas.openxmlformats.org/officeDocument/2006/relationships/hyperlink" Target="https://journal.universitaspahlawan.ac.id/index.php/jrpp/article/download/43586/27371/145690" TargetMode="External"/><Relationship Id="rId65" Type="http://schemas.openxmlformats.org/officeDocument/2006/relationships/hyperlink" Target="http://journal.ipts.ac.id/index.php/" TargetMode="External"/><Relationship Id="rId73"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creativecommons.org/licenses/by-sa/4.0/" TargetMode="External"/><Relationship Id="rId22" Type="http://schemas.openxmlformats.org/officeDocument/2006/relationships/hyperlink" Target="https://doi.org/10.56338/iqra.v20i1.6868" TargetMode="External"/><Relationship Id="rId27" Type="http://schemas.openxmlformats.org/officeDocument/2006/relationships/hyperlink" Target="https://doi.org/https:/bitarajournal.com/index.php/bitarajournal/article/view/415" TargetMode="External"/><Relationship Id="rId30" Type="http://schemas.openxmlformats.org/officeDocument/2006/relationships/hyperlink" Target="https://doi.org/https:/joqer.intischolar.id/index.php/joqer/article/view/4" TargetMode="External"/><Relationship Id="rId35" Type="http://schemas.openxmlformats.org/officeDocument/2006/relationships/hyperlink" Target="http://digilib.iain-palangkaraya.ac.id/1669/1/PROCEEDINGS%20ICIIES%20-Book%20TWO.pdf" TargetMode="External"/><Relationship Id="rId43" Type="http://schemas.openxmlformats.org/officeDocument/2006/relationships/hyperlink" Target="https://doi.org/10.58540/jipsi.v1i1.12" TargetMode="External"/><Relationship Id="rId48" Type="http://schemas.openxmlformats.org/officeDocument/2006/relationships/hyperlink" Target="https://doi.org/https:/vivauniversity.wordpress.com/wp-content/uploads/2013/11/milesandhuberman1994.pdf" TargetMode="External"/><Relationship Id="rId56" Type="http://schemas.openxmlformats.org/officeDocument/2006/relationships/hyperlink" Target="https://doi.org/10.55227/ijhess.v3i2.612" TargetMode="External"/><Relationship Id="rId64" Type="http://schemas.openxmlformats.org/officeDocument/2006/relationships/hyperlink" Target="https://doi.org/https:/doi.org/10.53802/fitrah.v15i2.921" TargetMode="External"/><Relationship Id="rId69"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hyperlink" Target="https://doi.org/10.31949/am.v5i2.7535" TargetMode="External"/><Relationship Id="rId72"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hyperlink" Target="mailto:abdullah@iain-palangkaraya.ac.idhirdauthor@mail.com" TargetMode="External"/><Relationship Id="rId17" Type="http://schemas.openxmlformats.org/officeDocument/2006/relationships/image" Target="media/image4.jpeg"/><Relationship Id="rId25" Type="http://schemas.openxmlformats.org/officeDocument/2006/relationships/hyperlink" Target="https://doi.org/10.35445/alishlah.v16i4.5763" TargetMode="External"/><Relationship Id="rId33" Type="http://schemas.openxmlformats.org/officeDocument/2006/relationships/hyperlink" Target="https://doi.org/http:/dx.doi.org/10.32806/jf.v14i2.611" TargetMode="External"/><Relationship Id="rId38" Type="http://schemas.openxmlformats.org/officeDocument/2006/relationships/hyperlink" Target="https://doi.org/10.59653/jmisc.v1i03.280" TargetMode="External"/><Relationship Id="rId46" Type="http://schemas.openxmlformats.org/officeDocument/2006/relationships/hyperlink" Target="https://doi.org/http:/digilib.iain-palangkaraya.ac.id/5571/1/Buku%20Pembelajaran%20Al-qur%E2%80%99an%20Hadits_Saiful%20Lutfi%2C%20dkk.pdf" TargetMode="External"/><Relationship Id="rId59" Type="http://schemas.openxmlformats.org/officeDocument/2006/relationships/hyperlink" Target="https://doi.org/10.51169/ideguru.v9i2.882" TargetMode="External"/><Relationship Id="rId67" Type="http://schemas.openxmlformats.org/officeDocument/2006/relationships/hyperlink" Target="https://doi.org/https:/doi.org/10.61132/ardhi.v2i5.777" TargetMode="External"/><Relationship Id="rId20" Type="http://schemas.openxmlformats.org/officeDocument/2006/relationships/hyperlink" Target="https://doi.org/10.35723/ajie.v5i1.161" TargetMode="External"/><Relationship Id="rId41" Type="http://schemas.openxmlformats.org/officeDocument/2006/relationships/hyperlink" Target="https://doi.org/10.31004/joe.v6i4.6413" TargetMode="External"/><Relationship Id="rId54" Type="http://schemas.openxmlformats.org/officeDocument/2006/relationships/hyperlink" Target="https://doi.org/10.37680/scaffolding.v6i3.7053" TargetMode="External"/><Relationship Id="rId62" Type="http://schemas.openxmlformats.org/officeDocument/2006/relationships/hyperlink" Target="https://doi.org/10.51278/aj.v6i3.1702"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hyperlink" Target="https://doi.org/10.32585/jurnalkomdik.v9i2.6797"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doi.org/10.32585/jurnalkomdik.v9i2.6797"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journal.univetbantara.ac.id/index.php/komdik" TargetMode="External"/><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QKDobhesO6k8ZSMlCDJ3PzyPuQ==">CgMxLjAyCGguZ2pkZ3hzOAByITFmVDVFbUlFOGNsSHdhQ3VBYnN6cEJwa19oYm1GZnE4Tw==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CB4527E-FB4C-4CDE-BF35-7E0C8A140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18135</Words>
  <Characters>103371</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Faeyza Computer</cp:lastModifiedBy>
  <cp:revision>3</cp:revision>
  <cp:lastPrinted>2026-01-05T01:58:00Z</cp:lastPrinted>
  <dcterms:created xsi:type="dcterms:W3CDTF">2026-01-05T01:58:00Z</dcterms:created>
  <dcterms:modified xsi:type="dcterms:W3CDTF">2026-01-05T01:59:00Z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17th edition (full note)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http://www.zotero.org/styles/turabian-fullnote-bibliography</vt:lpwstr>
  </property>
  <property fmtid="{D5CDD505-2E9C-101B-9397-08002B2CF9AE}" pid="21" name="Mendeley Recent Style Name 9_1">
    <vt:lpwstr>Turabian 9th edition (full note)</vt:lpwstr>
  </property>
  <property fmtid="{D5CDD505-2E9C-101B-9397-08002B2CF9AE}" pid="22" name="Mendeley Document_1">
    <vt:lpwstr>True</vt:lpwstr>
  </property>
  <property fmtid="{D5CDD505-2E9C-101B-9397-08002B2CF9AE}" pid="23" name="Mendeley Unique User Id_1">
    <vt:lpwstr>1b06e087-6a26-33c7-93c0-a5de1005c400</vt:lpwstr>
  </property>
  <property fmtid="{D5CDD505-2E9C-101B-9397-08002B2CF9AE}" pid="24" name="Mendeley Citation Style_1">
    <vt:lpwstr>http://www.zotero.org/styles/apa</vt:lpwstr>
  </property>
</Properties>
</file>